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88D4" w14:textId="77777777" w:rsidR="000C6EC7" w:rsidRDefault="00EE41F0" w:rsidP="00631208">
      <w:pPr>
        <w:spacing w:after="52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EE41F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7B83075" wp14:editId="32E9563F">
            <wp:simplePos x="0" y="0"/>
            <wp:positionH relativeFrom="column">
              <wp:posOffset>5008228</wp:posOffset>
            </wp:positionH>
            <wp:positionV relativeFrom="paragraph">
              <wp:posOffset>-780176</wp:posOffset>
            </wp:positionV>
            <wp:extent cx="932180" cy="712470"/>
            <wp:effectExtent l="0" t="0" r="0" b="0"/>
            <wp:wrapNone/>
            <wp:docPr id="74420572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08" w:rsidRPr="00EE41F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</w:t>
      </w:r>
    </w:p>
    <w:p w14:paraId="02D207CE" w14:textId="46ACC060" w:rsidR="000C6EC7" w:rsidRPr="00652748" w:rsidRDefault="00631208" w:rsidP="000C6EC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EE41F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Aviso N.º</w:t>
      </w:r>
      <w:r w:rsidR="000C6EC7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……</w:t>
      </w:r>
      <w:r w:rsidRPr="00EE41F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/GBM/</w:t>
      </w:r>
      <w:r w:rsidR="007C654C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2024</w:t>
      </w:r>
    </w:p>
    <w:p w14:paraId="12D79971" w14:textId="25A09E8D" w:rsidR="000C6EC7" w:rsidRPr="000C6EC7" w:rsidRDefault="000C6EC7" w:rsidP="000C6E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0C6EC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Maputo,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502628213"/>
          <w:placeholder>
            <w:docPart w:val="FB05862C46F64EEA9745679055433C02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652748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…</w:t>
          </w:r>
        </w:sdtContent>
      </w:sdt>
      <w:r w:rsidRPr="000C6E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pt-PT"/>
          </w:rPr>
          <w:id w:val="663368094"/>
          <w:placeholder>
            <w:docPart w:val="1EBC9D6149C948CC9077C2031501ABEB"/>
          </w:placeholder>
          <w:comboBox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proofErr w:type="gramStart"/>
          <w:r w:rsidR="00501ED3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pt-PT"/>
            </w:rPr>
            <w:t>Outubro</w:t>
          </w:r>
          <w:proofErr w:type="gramEnd"/>
        </w:sdtContent>
      </w:sdt>
      <w:r w:rsidRPr="000C6E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2116931765"/>
          <w:placeholder>
            <w:docPart w:val="4F714C5665DB4638BAD565C6B37C87F7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EndPr/>
        <w:sdtContent>
          <w:r w:rsidR="00652748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2024</w:t>
          </w:r>
        </w:sdtContent>
      </w:sdt>
    </w:p>
    <w:p w14:paraId="72CD7F29" w14:textId="77777777" w:rsidR="000C6EC7" w:rsidRPr="00EE41F0" w:rsidRDefault="000C6EC7" w:rsidP="000C6EC7">
      <w:pPr>
        <w:spacing w:after="0" w:line="360" w:lineRule="auto"/>
        <w:ind w:left="18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tbl>
      <w:tblPr>
        <w:tblW w:w="91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8"/>
        <w:gridCol w:w="7932"/>
      </w:tblGrid>
      <w:tr w:rsidR="00652748" w:rsidRPr="00501ED3" w14:paraId="20001FE2" w14:textId="77777777" w:rsidTr="00833B26">
        <w:trPr>
          <w:trHeight w:val="616"/>
        </w:trPr>
        <w:tc>
          <w:tcPr>
            <w:tcW w:w="1168" w:type="dxa"/>
          </w:tcPr>
          <w:p w14:paraId="0ED36C85" w14:textId="77777777" w:rsidR="00652748" w:rsidRPr="00652748" w:rsidRDefault="00652748" w:rsidP="00652748">
            <w:pPr>
              <w:autoSpaceDE w:val="0"/>
              <w:autoSpaceDN w:val="0"/>
              <w:adjustRightInd w:val="0"/>
              <w:spacing w:after="12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  <w:t>Assunto:</w:t>
            </w:r>
          </w:p>
        </w:tc>
        <w:tc>
          <w:tcPr>
            <w:tcW w:w="7932" w:type="dxa"/>
          </w:tcPr>
          <w:p w14:paraId="5FF6F41F" w14:textId="68287195" w:rsidR="00652748" w:rsidRPr="00652748" w:rsidRDefault="00652748" w:rsidP="00652748">
            <w:pPr>
              <w:autoSpaceDE w:val="0"/>
              <w:autoSpaceDN w:val="0"/>
              <w:adjustRightInd w:val="0"/>
              <w:spacing w:after="12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  <w:t xml:space="preserve">Directrizes de reporte de incidentes </w:t>
            </w:r>
            <w:r w:rsidR="0067796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  <w:t xml:space="preserve">tecnológicos e </w:t>
            </w:r>
            <w:r w:rsidRPr="006527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  <w:t>cibernéticos</w:t>
            </w:r>
          </w:p>
        </w:tc>
      </w:tr>
    </w:tbl>
    <w:p w14:paraId="4ECB470A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677128F7" w14:textId="1E0C417B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Havendo necessidade de estabelecer directrizes de reporte </w:t>
      </w:r>
      <w:r w:rsidR="00860C9A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 incidentes </w:t>
      </w:r>
      <w:r w:rsidR="0067796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tecnológicos e </w:t>
      </w:r>
      <w:r w:rsidR="00860C9A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cibernéticos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o Banco de Moçambique, no uso das competências conferidas ao abrigo da alínea d) do n.º 2 do artigo 37 da Lei n.º 1/92, de 3 de </w:t>
      </w:r>
      <w:proofErr w:type="gram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Janeiro</w:t>
      </w:r>
      <w:proofErr w:type="gram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– Lei Orgânica do Banco de Moçambique, determina: </w:t>
      </w:r>
    </w:p>
    <w:p w14:paraId="1DB667EE" w14:textId="77777777" w:rsidR="003F64C0" w:rsidRPr="00FC41CD" w:rsidRDefault="003F64C0" w:rsidP="003F64C0">
      <w:pPr>
        <w:spacing w:after="0" w:line="360" w:lineRule="auto"/>
        <w:ind w:left="0" w:right="8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2FF69541" w14:textId="47416910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</w:t>
      </w:r>
      <w:bookmarkStart w:id="0" w:name="_Toc95726263"/>
      <w:bookmarkStart w:id="1" w:name="_Toc95726264"/>
      <w:bookmarkStart w:id="2" w:name="_Toc101149709"/>
      <w:bookmarkEnd w:id="0"/>
      <w:bookmarkEnd w:id="1"/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IRECTRIZES DE REPORTE DE INCIDENTES </w:t>
      </w:r>
      <w:r w:rsidR="00A23A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TECNOLÓGICOS E </w:t>
      </w: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CIBERNÉTICOS</w:t>
      </w:r>
      <w:r w:rsidR="0056642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</w:p>
    <w:p w14:paraId="21C89B3C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CAPÍTULO I</w:t>
      </w:r>
    </w:p>
    <w:p w14:paraId="27F7FE40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DISPOSIÇÕES GERAIS </w:t>
      </w:r>
    </w:p>
    <w:bookmarkEnd w:id="2"/>
    <w:p w14:paraId="6FE1B297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</w:t>
      </w:r>
    </w:p>
    <w:p w14:paraId="408D46CA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Objecto</w:t>
      </w:r>
      <w:proofErr w:type="spellEnd"/>
    </w:p>
    <w:p w14:paraId="06E177A5" w14:textId="3012B5C2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 presentes Directrizes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estabelecem as regras para o</w:t>
      </w:r>
      <w:r w:rsidR="000500F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reporte de incidentes </w:t>
      </w:r>
      <w:r w:rsidR="0067796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tecnológicos e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cibernéticos. </w:t>
      </w:r>
    </w:p>
    <w:p w14:paraId="12B7BAA1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2D7F631E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2</w:t>
      </w:r>
    </w:p>
    <w:p w14:paraId="0B0A4B52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Âmbito de Aplicação</w:t>
      </w:r>
    </w:p>
    <w:p w14:paraId="24F83EF7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 presentes Directrizes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aplicam-se às instituições de crédito e sociedades financeiras, doravante designadas por “instituições”. </w:t>
      </w:r>
    </w:p>
    <w:p w14:paraId="629449B8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>Artigo 3</w:t>
      </w:r>
    </w:p>
    <w:p w14:paraId="6DDCF653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Âmbito da informação a reportar</w:t>
      </w:r>
    </w:p>
    <w:p w14:paraId="23D0ECC3" w14:textId="77777777" w:rsidR="003D0813" w:rsidRPr="003D0813" w:rsidRDefault="003D0813" w:rsidP="003D0813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financeiras estão sujeitas a reportar os incidentes tecnológicos e cibernéticos, e abrange eventos externos e internos, quer sejam provocados ou acidentais, tendo em conta os níveis de gravidade previstos no Anexo 3. </w:t>
      </w:r>
    </w:p>
    <w:p w14:paraId="70EC6B86" w14:textId="77777777" w:rsidR="0067796A" w:rsidRPr="003D0813" w:rsidRDefault="0067796A" w:rsidP="0067796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C071897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4</w:t>
      </w:r>
    </w:p>
    <w:p w14:paraId="47473072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Definições </w:t>
      </w:r>
    </w:p>
    <w:p w14:paraId="111A6C38" w14:textId="749DB65D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Os termos e expressões usados n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presente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proofErr w:type="spellStart"/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="00912946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são definidos no Glossário, em </w:t>
      </w:r>
      <w:r w:rsidR="00860C9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="00860C9A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nexo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1, que é dele parte integrante.</w:t>
      </w:r>
    </w:p>
    <w:p w14:paraId="3DB65BEA" w14:textId="77777777" w:rsidR="00652748" w:rsidRPr="00652748" w:rsidRDefault="00652748" w:rsidP="00652748">
      <w:pPr>
        <w:spacing w:after="16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lang w:val="pt-PT"/>
        </w:rPr>
      </w:pPr>
    </w:p>
    <w:p w14:paraId="17F0E2F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CAPÍTULO II</w:t>
      </w:r>
    </w:p>
    <w:p w14:paraId="0F4112F4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CLASSIFICAÇÃO DE INCIDENTES</w:t>
      </w:r>
    </w:p>
    <w:p w14:paraId="4E80C49A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3D0316F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5</w:t>
      </w:r>
    </w:p>
    <w:p w14:paraId="3A960051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Classificação do incidente quanto à natureza</w:t>
      </w:r>
    </w:p>
    <w:p w14:paraId="2796E870" w14:textId="52FA0EA2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considerar a taxonomia apresentada no Anexo 2 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nas presentes </w:t>
      </w:r>
      <w:proofErr w:type="spellStart"/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="00860C9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para a classificação da natureza dos incidentes. </w:t>
      </w:r>
    </w:p>
    <w:p w14:paraId="635FCF53" w14:textId="77777777" w:rsidR="00652748" w:rsidRPr="00652748" w:rsidRDefault="00652748" w:rsidP="00652748">
      <w:pPr>
        <w:spacing w:after="160" w:line="259" w:lineRule="auto"/>
        <w:ind w:left="0" w:firstLine="0"/>
        <w:rPr>
          <w:rFonts w:asciiTheme="minorHAnsi" w:eastAsia="Times New Roman" w:hAnsiTheme="minorHAnsi" w:cs="Times New Roman"/>
          <w:b/>
          <w:bCs/>
          <w:color w:val="auto"/>
          <w:sz w:val="22"/>
          <w:lang w:val="pt-PT"/>
        </w:rPr>
      </w:pPr>
    </w:p>
    <w:p w14:paraId="6DA19DA8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6</w:t>
      </w:r>
    </w:p>
    <w:p w14:paraId="6C2A358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Classificação do incidente quanto à gravidade</w:t>
      </w:r>
    </w:p>
    <w:p w14:paraId="2A558EC9" w14:textId="4DD80E19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As instituições devem classificar os incidentes, de acordo com os níveis de gravidade descrito</w:t>
      </w:r>
      <w:r w:rsidR="00860C9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no Anexo 3 </w:t>
      </w:r>
      <w:r w:rsidR="00912946" w:rsidRPr="00A23A5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das presentes </w:t>
      </w:r>
      <w:proofErr w:type="spellStart"/>
      <w:r w:rsidR="00912946" w:rsidRPr="00A23A5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P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42DF5445" w14:textId="77777777" w:rsidR="00912946" w:rsidRPr="00652748" w:rsidRDefault="00912946" w:rsidP="00652748">
      <w:pPr>
        <w:spacing w:after="160" w:line="360" w:lineRule="auto"/>
        <w:ind w:left="0" w:firstLine="0"/>
        <w:jc w:val="both"/>
        <w:rPr>
          <w:rFonts w:asciiTheme="minorHAnsi" w:eastAsia="Times New Roman" w:hAnsiTheme="minorHAnsi" w:cs="Times New Roman"/>
          <w:color w:val="auto"/>
          <w:sz w:val="22"/>
          <w:lang w:val="pt-PT"/>
        </w:rPr>
      </w:pPr>
    </w:p>
    <w:p w14:paraId="2A167990" w14:textId="77777777" w:rsidR="003D0813" w:rsidRDefault="003D081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br w:type="page"/>
      </w:r>
    </w:p>
    <w:p w14:paraId="295431A9" w14:textId="5082196E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lastRenderedPageBreak/>
        <w:t>CAPÍTULO III</w:t>
      </w:r>
    </w:p>
    <w:p w14:paraId="1E01DF56" w14:textId="24A221DA" w:rsidR="00652748" w:rsidRPr="00652748" w:rsidRDefault="00652748" w:rsidP="00652748">
      <w:pPr>
        <w:spacing w:after="200" w:line="360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REPORTE DE INCIDENTES </w:t>
      </w:r>
      <w:r w:rsidR="00A23A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TECNOLÓGICOS</w:t>
      </w:r>
      <w:r w:rsidR="00A23A5F"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="00A23A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E </w:t>
      </w: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CIBERNÉTICOS</w:t>
      </w:r>
      <w:r w:rsidR="003007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 </w:t>
      </w:r>
    </w:p>
    <w:p w14:paraId="3A989547" w14:textId="77777777" w:rsidR="003D0813" w:rsidRDefault="003D0813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48E1AFE5" w14:textId="7C894E95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7</w:t>
      </w:r>
    </w:p>
    <w:p w14:paraId="1525D33D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Modelo de reporte</w:t>
      </w:r>
    </w:p>
    <w:p w14:paraId="2964D326" w14:textId="391B2B79" w:rsidR="009868BE" w:rsidRDefault="00652748" w:rsidP="0065274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reportar os incidentes de 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acordo com os </w:t>
      </w:r>
      <w:r w:rsidR="009868BE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níve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is</w:t>
      </w:r>
      <w:r w:rsidR="009868BE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 gravidade 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descritos no Anexo 3 </w:t>
      </w:r>
      <w:r w:rsidR="00D2420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das presentes </w:t>
      </w:r>
      <w:proofErr w:type="spellStart"/>
      <w:r w:rsidR="00D2420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672585FA" w14:textId="625F830B" w:rsidR="00652748" w:rsidRPr="00652748" w:rsidRDefault="009868BE" w:rsidP="0065274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Para o cumprimento do disposto no número anterior, as instituições devem </w:t>
      </w:r>
      <w:r w:rsidR="007530C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reportar os incidentes de nível </w:t>
      </w:r>
      <w:r w:rsidR="00652748"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crítico</w:t>
      </w:r>
      <w:r w:rsidR="007530C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652748"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alto</w:t>
      </w:r>
      <w:r w:rsidR="007530C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 xml:space="preserve"> e médio,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mediante o preenchimento do modelo de reporte de incidentes, </w:t>
      </w:r>
      <w:r w:rsidR="007530C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 ser </w:t>
      </w:r>
      <w:r w:rsidR="00652748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aprovado por Circular.</w:t>
      </w:r>
    </w:p>
    <w:p w14:paraId="2591B837" w14:textId="0345E3DC" w:rsidR="00652748" w:rsidRPr="00652748" w:rsidRDefault="00652748" w:rsidP="00652748">
      <w:pPr>
        <w:numPr>
          <w:ilvl w:val="0"/>
          <w:numId w:val="1"/>
        </w:numPr>
        <w:spacing w:after="200" w:line="360" w:lineRule="auto"/>
        <w:ind w:left="720"/>
        <w:contextualSpacing/>
        <w:jc w:val="both"/>
        <w:rPr>
          <w:rFonts w:eastAsia="Times New Roman" w:cs="Times New Roman"/>
          <w:color w:val="auto"/>
          <w:sz w:val="22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Sem prejuízo do estabelecido no número anterior, </w:t>
      </w:r>
      <w:r w:rsidR="00AD671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os incidentes de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níve</w:t>
      </w:r>
      <w:r w:rsidR="00AD671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l baixo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devem</w:t>
      </w:r>
      <w:r w:rsidR="00F2474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estar devidamente documentados e disponíveis para consulta</w:t>
      </w:r>
      <w:r w:rsidR="00863B9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sempre que se mostrar necessário.</w:t>
      </w:r>
    </w:p>
    <w:p w14:paraId="6254DB23" w14:textId="77777777" w:rsidR="00652748" w:rsidRPr="00652748" w:rsidRDefault="00652748" w:rsidP="00652748">
      <w:pPr>
        <w:spacing w:after="200" w:line="36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6C67C0A7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8</w:t>
      </w:r>
    </w:p>
    <w:p w14:paraId="6356B8EF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Prazo de reporte</w:t>
      </w:r>
    </w:p>
    <w:p w14:paraId="110182D1" w14:textId="05331EC8" w:rsidR="00652748" w:rsidRPr="00652748" w:rsidRDefault="00652748" w:rsidP="009868BE">
      <w:pPr>
        <w:numPr>
          <w:ilvl w:val="3"/>
          <w:numId w:val="5"/>
        </w:numPr>
        <w:spacing w:before="120" w:after="12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reportar os incidentes 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 forma incremental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nos seguintes prazos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máximos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:</w:t>
      </w:r>
    </w:p>
    <w:p w14:paraId="0204452D" w14:textId="3C01F351" w:rsidR="00652748" w:rsidRPr="00652748" w:rsidRDefault="00652748" w:rsidP="00652748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Reporte preliminar: vinte e quatro horas</w:t>
      </w:r>
      <w:r w:rsidR="009868B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 contadas do momento da sua ocorrência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</w:p>
    <w:p w14:paraId="7FD11F60" w14:textId="25DC66E8" w:rsidR="00133177" w:rsidRDefault="00652748" w:rsidP="00133177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Reporte intermédio: quarenta e oito horas</w:t>
      </w:r>
      <w:r w:rsidR="009868BE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 contadas do momento da</w:t>
      </w: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submissão do relatório preliminar</w:t>
      </w:r>
      <w:r w:rsidR="00FC41CD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  <w:r w:rsid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</w:t>
      </w:r>
    </w:p>
    <w:p w14:paraId="25083135" w14:textId="23869AE4" w:rsidR="00133177" w:rsidRDefault="00652748" w:rsidP="00133177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Reporte final: </w:t>
      </w:r>
      <w:r w:rsidR="004A5C97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até 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trinta</w:t>
      </w: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4A5C97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dias úteis</w:t>
      </w:r>
      <w:r w:rsidR="001F732C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="004A5C97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após o reporte preliminar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. </w:t>
      </w:r>
    </w:p>
    <w:p w14:paraId="7CA98FB0" w14:textId="7ED5E8A9" w:rsidR="004A5C97" w:rsidRPr="00133177" w:rsidRDefault="004A5C97" w:rsidP="00133177">
      <w:pPr>
        <w:numPr>
          <w:ilvl w:val="3"/>
          <w:numId w:val="5"/>
        </w:numPr>
        <w:spacing w:before="120" w:after="12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Caso o incidente não seja resolvido no prazo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estabelecido na alínea c) do número anterior, </w:t>
      </w: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submeter 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ao Banco de Moçambique, no mesmo prazo,</w:t>
      </w:r>
      <w:r w:rsidR="00C164E8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 relatório final e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um plano de </w:t>
      </w:r>
      <w:proofErr w:type="spellStart"/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acção</w:t>
      </w:r>
      <w:proofErr w:type="spellEnd"/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contendo 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</w:t>
      </w:r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medidas de mitigação </w:t>
      </w:r>
      <w:proofErr w:type="spellStart"/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adoptadas</w:t>
      </w:r>
      <w:proofErr w:type="spellEnd"/>
      <w:r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ou previstas para resolver o incidente e evitar a sua recorrência no futuro.</w:t>
      </w:r>
      <w:r w:rsidR="00863B93" w:rsidRP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147152B9" w14:textId="039F5150" w:rsidR="00C164E8" w:rsidRPr="00133177" w:rsidRDefault="00C164E8" w:rsidP="00C164E8">
      <w:pPr>
        <w:numPr>
          <w:ilvl w:val="3"/>
          <w:numId w:val="5"/>
        </w:numPr>
        <w:spacing w:before="120" w:after="120" w:line="360" w:lineRule="auto"/>
        <w:ind w:left="709"/>
        <w:contextualSpacing/>
        <w:jc w:val="both"/>
        <w:rPr>
          <w:rFonts w:ascii="Times New Roman" w:hAnsi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plano de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acção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referido no ponto anterior, é sujeito </w:t>
      </w:r>
      <w:r w:rsidR="0013317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avaliação e acompanhamento 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pelo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Banco de Moçambique.</w:t>
      </w:r>
    </w:p>
    <w:p w14:paraId="4584A25E" w14:textId="77777777" w:rsidR="00652748" w:rsidRPr="00652748" w:rsidRDefault="00652748" w:rsidP="00652748">
      <w:pPr>
        <w:spacing w:after="160" w:line="360" w:lineRule="auto"/>
        <w:ind w:left="0" w:firstLine="0"/>
        <w:rPr>
          <w:rFonts w:asciiTheme="minorHAnsi" w:eastAsia="Times New Roman" w:hAnsiTheme="minorHAnsi" w:cs="Times New Roman"/>
          <w:bCs/>
          <w:color w:val="auto"/>
          <w:sz w:val="22"/>
          <w:lang w:val="pt-PT"/>
        </w:rPr>
      </w:pPr>
    </w:p>
    <w:p w14:paraId="0C55D17C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>Artigo 9</w:t>
      </w:r>
    </w:p>
    <w:p w14:paraId="535233A6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Relatório preliminar</w:t>
      </w:r>
    </w:p>
    <w:p w14:paraId="3AFE29D2" w14:textId="0F6F5293" w:rsidR="00652748" w:rsidRPr="00652748" w:rsidRDefault="00863B93" w:rsidP="00652748">
      <w:pPr>
        <w:numPr>
          <w:ilvl w:val="0"/>
          <w:numId w:val="2"/>
        </w:numPr>
        <w:spacing w:after="20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O </w:t>
      </w:r>
      <w:r w:rsidR="00652748"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>relatório preliminar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deve conter</w:t>
      </w:r>
      <w:r w:rsidR="00652748"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informação de caráter geral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>,</w:t>
      </w:r>
      <w:r w:rsidR="00652748"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descrevendo as características essenciais do incidente e o seu provável impacto, seguindo o modelo aprovado pelo Banco de Moçambique. </w:t>
      </w:r>
    </w:p>
    <w:p w14:paraId="43972226" w14:textId="19192D81" w:rsidR="00652748" w:rsidRPr="00652748" w:rsidRDefault="00652748" w:rsidP="00652748">
      <w:pPr>
        <w:numPr>
          <w:ilvl w:val="0"/>
          <w:numId w:val="2"/>
        </w:numPr>
        <w:spacing w:after="20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>Sempre que não se encontrem disponíveis dados definitivos, as instituições devem recorrer a estimativas</w:t>
      </w:r>
      <w:r w:rsidR="00863B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justificáveis</w:t>
      </w: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para o preenchimento do modelo de reporte. </w:t>
      </w:r>
    </w:p>
    <w:p w14:paraId="1805E2E0" w14:textId="3CBF94D7" w:rsidR="00652748" w:rsidRDefault="00652748" w:rsidP="00652748">
      <w:pPr>
        <w:numPr>
          <w:ilvl w:val="0"/>
          <w:numId w:val="2"/>
        </w:numPr>
        <w:spacing w:after="20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Caso a instituição regresse à normalidade num espaço de tempo inferior ao estabelecido </w:t>
      </w:r>
      <w:r w:rsidR="00863B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>na alínea a) do n.º 1 do</w:t>
      </w:r>
      <w:r w:rsidRPr="0065274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  <w:t xml:space="preserve"> artigo anterior, deve submeter todos os relatórios, simultaneamente. </w:t>
      </w:r>
    </w:p>
    <w:p w14:paraId="7DBCF53B" w14:textId="77777777" w:rsidR="00FC41CD" w:rsidRPr="00652748" w:rsidRDefault="00FC41CD" w:rsidP="00FC41CD">
      <w:pPr>
        <w:spacing w:after="20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</w:p>
    <w:p w14:paraId="34DD6166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10</w:t>
      </w:r>
    </w:p>
    <w:p w14:paraId="2BEE5E79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Relatório intermédio</w:t>
      </w:r>
    </w:p>
    <w:p w14:paraId="72AB0851" w14:textId="22C99426" w:rsidR="00652748" w:rsidRPr="009C371E" w:rsidRDefault="00652748" w:rsidP="009C371E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relatório intermédio deve conter a descrição detalhada do incidente e o seu impacto, devendo ser actualizado sempre que a instituição tiver novas informações relevantes ou alterações significativas.</w:t>
      </w:r>
    </w:p>
    <w:p w14:paraId="1937718B" w14:textId="77777777" w:rsidR="00863B93" w:rsidRDefault="00863B93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3D50F5E" w14:textId="69450E03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11</w:t>
      </w:r>
    </w:p>
    <w:p w14:paraId="4FBB7F62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Relatório Final</w:t>
      </w:r>
    </w:p>
    <w:p w14:paraId="088B53D5" w14:textId="65FC64AD" w:rsidR="00300941" w:rsidRPr="009C371E" w:rsidRDefault="00580DCD" w:rsidP="009C371E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relatório </w:t>
      </w:r>
      <w:r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final deve 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conter </w:t>
      </w:r>
      <w:r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 informação </w:t>
      </w:r>
      <w:r w:rsidR="00300941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que actualiza o relatório intermédio e adicion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 </w:t>
      </w:r>
      <w:r w:rsidR="00300941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detalhes </w:t>
      </w:r>
      <w:r w:rsidR="006A5D01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sobre 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 análise da</w:t>
      </w:r>
      <w:r w:rsidR="001706DF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causa </w:t>
      </w:r>
      <w:r w:rsidR="009C371E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raiz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do incidente, o resultado da investigação interna, as</w:t>
      </w:r>
      <w:r w:rsidR="001706DF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6A5D01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acções de remediação tomadas ou previstas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1706DF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as</w:t>
      </w:r>
      <w:r w:rsidR="001706DF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lições</w:t>
      </w:r>
      <w:r w:rsidR="006A5D01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aprendidas.</w:t>
      </w:r>
      <w:r w:rsidR="00F76CEA" w:rsidRP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2D4A8891" w14:textId="77777777" w:rsidR="00E1150C" w:rsidRDefault="00E1150C" w:rsidP="00E1150C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pt-PT"/>
        </w:rPr>
      </w:pPr>
      <w:bookmarkStart w:id="3" w:name="_Toc101149715"/>
    </w:p>
    <w:p w14:paraId="21EF1B2B" w14:textId="77777777" w:rsidR="00E1150C" w:rsidRPr="00652748" w:rsidRDefault="00E1150C" w:rsidP="00E1150C">
      <w:pPr>
        <w:spacing w:after="200" w:line="360" w:lineRule="auto"/>
        <w:contextualSpacing/>
        <w:jc w:val="both"/>
        <w:rPr>
          <w:rFonts w:eastAsia="Times New Roman" w:cs="Times New Roman"/>
          <w:color w:val="auto"/>
          <w:sz w:val="22"/>
          <w:lang w:val="pt-PT"/>
        </w:rPr>
      </w:pPr>
    </w:p>
    <w:p w14:paraId="7B3A632B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12</w:t>
      </w:r>
    </w:p>
    <w:p w14:paraId="09FB6382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Reporte agregado</w:t>
      </w:r>
    </w:p>
    <w:p w14:paraId="0C252183" w14:textId="40F72196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instituições devem remeter mensalmente, até ao dia </w:t>
      </w:r>
      <w:r w:rsidR="00F76CE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quinze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a relação dos incidentes ocorridos no mês anterior, devendo para o efeito juntar: </w:t>
      </w:r>
    </w:p>
    <w:p w14:paraId="0783434F" w14:textId="0C23B385" w:rsidR="00652748" w:rsidRPr="00652748" w:rsidRDefault="00652748" w:rsidP="00652748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>Carta de remessa</w:t>
      </w:r>
      <w:r w:rsidR="00F76CE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,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devidamente assinada por um membro do Conselho de Administração e pelo </w:t>
      </w:r>
      <w:r w:rsidR="00A23A5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executivo sénior responsável pela gestão dos incidentes</w:t>
      </w:r>
      <w:r w:rsidR="00F76CE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;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7A2465FC" w14:textId="5E2CF348" w:rsidR="00652748" w:rsidRPr="00FC41CD" w:rsidRDefault="00652748" w:rsidP="00FC41CD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Informação agregada dos incidentes ocorridos dentro do período considerado, conforme Modelo aprova</w:t>
      </w:r>
      <w:r w:rsidR="00C164E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do</w:t>
      </w:r>
      <w:r w:rsidR="00F76CEA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por Circular. </w:t>
      </w:r>
    </w:p>
    <w:p w14:paraId="1C1EEB1B" w14:textId="77777777" w:rsidR="009C371E" w:rsidRDefault="009C371E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4E68F9D" w14:textId="59C600F0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13</w:t>
      </w:r>
    </w:p>
    <w:p w14:paraId="4C206256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Informações adicionais</w:t>
      </w:r>
    </w:p>
    <w:p w14:paraId="11695117" w14:textId="25B9DC41" w:rsidR="00652748" w:rsidRPr="00652748" w:rsidRDefault="00652748" w:rsidP="00652748">
      <w:pPr>
        <w:spacing w:after="20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Banco de Moçambique pode solicitar </w:t>
      </w:r>
      <w:r w:rsid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à</w:t>
      </w:r>
      <w:r w:rsidR="009C371E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instituições informações adicionais, bem como realizar averiguações que considere necessárias sobre o estado dos incidentes cibernéticos reportados.</w:t>
      </w:r>
    </w:p>
    <w:p w14:paraId="71A41D54" w14:textId="77777777" w:rsidR="00FC41CD" w:rsidRDefault="00FC41CD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2F29837F" w14:textId="46351FE1" w:rsidR="00912946" w:rsidRPr="003D0813" w:rsidRDefault="00912946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Artigo 14 </w:t>
      </w:r>
    </w:p>
    <w:p w14:paraId="01B560AD" w14:textId="668536DE" w:rsidR="00912946" w:rsidRDefault="00912946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Preservação de informação e dever de colaboração </w:t>
      </w:r>
    </w:p>
    <w:p w14:paraId="2F61BF33" w14:textId="77777777" w:rsidR="00912946" w:rsidRPr="003D0813" w:rsidRDefault="00912946" w:rsidP="003D0813">
      <w:p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  <w:lang w:val="pt-PT"/>
        </w:rPr>
      </w:pPr>
      <w:r w:rsidRPr="003D0813">
        <w:rPr>
          <w:rFonts w:ascii="Times New Roman" w:hAnsi="Times New Roman"/>
          <w:color w:val="auto"/>
          <w:sz w:val="24"/>
          <w:szCs w:val="24"/>
          <w:lang w:val="pt-PT"/>
        </w:rPr>
        <w:t xml:space="preserve">As instituições devem preservar os dados e evidências relacionadas com a ocorrência dos incidentes reportados, bem como colaborar com as autoridades reguladoras e de segurança, no âmbito da investigação dos referidos incidentes. </w:t>
      </w:r>
    </w:p>
    <w:p w14:paraId="1B801178" w14:textId="77777777" w:rsidR="00912946" w:rsidRDefault="00912946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33BA46CA" w14:textId="4C9B01E2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CAPÍTULO V</w:t>
      </w:r>
    </w:p>
    <w:p w14:paraId="0C3A8C54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DISPOSIÇÕES FINAIS</w:t>
      </w:r>
    </w:p>
    <w:p w14:paraId="3D2616EE" w14:textId="50AABC4F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5</w:t>
      </w:r>
    </w:p>
    <w:p w14:paraId="794A8CF0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Regime Sancionatório</w:t>
      </w:r>
    </w:p>
    <w:p w14:paraId="770970CD" w14:textId="148EFF55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incumprimento do previsto </w:t>
      </w:r>
      <w:r w:rsidR="00920EE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nas presentes </w:t>
      </w:r>
      <w:proofErr w:type="spellStart"/>
      <w:r w:rsidR="00920EE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constitui contravenção punível nos termos da Lei das Instituições de Crédito e Sociedades Financeiras.  </w:t>
      </w:r>
    </w:p>
    <w:p w14:paraId="40396BE6" w14:textId="410713BB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Artigo 1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6</w:t>
      </w:r>
    </w:p>
    <w:bookmarkEnd w:id="3"/>
    <w:p w14:paraId="75ED211B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Entrada em vigor</w:t>
      </w:r>
    </w:p>
    <w:p w14:paraId="3E08BBA1" w14:textId="56B548E5" w:rsidR="00652748" w:rsidRPr="00FC41CD" w:rsidRDefault="00920EE8" w:rsidP="00FC41CD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presentes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="00652748" w:rsidRPr="004679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entra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m</w:t>
      </w:r>
      <w:r w:rsidR="00652748" w:rsidRPr="004679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em vigor noventa dias 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 contar d</w:t>
      </w:r>
      <w:r w:rsidR="00652748" w:rsidRPr="004679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 data da sua publicação.</w:t>
      </w:r>
    </w:p>
    <w:p w14:paraId="7012EBF2" w14:textId="11FE8A2C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>Artigo 1</w:t>
      </w:r>
      <w:r w:rsidR="0091294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7</w:t>
      </w:r>
    </w:p>
    <w:p w14:paraId="20F2A8AA" w14:textId="77777777" w:rsidR="00652748" w:rsidRPr="00652748" w:rsidRDefault="00652748" w:rsidP="00652748">
      <w:pPr>
        <w:keepNext/>
        <w:spacing w:before="120" w:after="12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Esclarecimento de dúvidas</w:t>
      </w:r>
    </w:p>
    <w:p w14:paraId="183D3E14" w14:textId="74C2B461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As dúvidas na interpretação e aplicação </w:t>
      </w:r>
      <w:r w:rsidR="00920EE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das presentes </w:t>
      </w:r>
      <w:proofErr w:type="spellStart"/>
      <w:r w:rsidR="00920EE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Directrizes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devem ser submetidas ao Departamento de Supervisão Prudencial do Banco de Moçambique.</w:t>
      </w:r>
    </w:p>
    <w:p w14:paraId="00834136" w14:textId="77777777" w:rsidR="00652748" w:rsidRPr="00652748" w:rsidRDefault="00652748" w:rsidP="00652748">
      <w:pPr>
        <w:spacing w:before="120" w:after="120"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46697415" w14:textId="77777777" w:rsidR="00652748" w:rsidRPr="00652748" w:rsidRDefault="00652748" w:rsidP="00652748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7E5B39AF" w14:textId="77777777" w:rsidR="00652748" w:rsidRDefault="00652748" w:rsidP="00652748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3C7EF14D" w14:textId="77777777" w:rsidR="00DE138C" w:rsidRDefault="00DE138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br w:type="page"/>
      </w:r>
    </w:p>
    <w:p w14:paraId="60DFD6AD" w14:textId="503FD944" w:rsidR="00652748" w:rsidRPr="00652748" w:rsidRDefault="00652748" w:rsidP="00652748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lastRenderedPageBreak/>
        <w:t>ANEXO 1</w:t>
      </w:r>
    </w:p>
    <w:p w14:paraId="063B9327" w14:textId="77777777" w:rsidR="00652748" w:rsidRPr="00652748" w:rsidRDefault="00652748" w:rsidP="00652748">
      <w:pPr>
        <w:spacing w:before="240" w:after="24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t>Glossário</w:t>
      </w:r>
    </w:p>
    <w:p w14:paraId="2A2E6F22" w14:textId="61F76F11" w:rsidR="00D50245" w:rsidRDefault="00D50245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</w:t>
      </w:r>
    </w:p>
    <w:p w14:paraId="0A8E175D" w14:textId="6F662876" w:rsidR="00D50245" w:rsidRPr="003D0813" w:rsidRDefault="00D50245" w:rsidP="003D0813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5E1C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Activos</w:t>
      </w:r>
      <w:proofErr w:type="spellEnd"/>
      <w:r w:rsidRPr="005E1C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críticos - </w:t>
      </w:r>
      <w:r w:rsidR="005E1C38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recursos ou sistemas essenciais para a continuidade das operações de uma </w:t>
      </w:r>
      <w:r w:rsidR="005E1C3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instituição, </w:t>
      </w:r>
      <w:r w:rsidR="005E1C38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cuj</w:t>
      </w:r>
      <w:r w:rsidR="005E1C3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seu </w:t>
      </w:r>
      <w:r w:rsidR="005E1C38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comprometimento </w:t>
      </w:r>
      <w:r w:rsidR="005E1C3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ou falha tem </w:t>
      </w:r>
      <w:r w:rsidR="005E1C38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um impacto significativo nos serviços prestados, na segurança dos dados e na reputação da </w:t>
      </w:r>
      <w:r w:rsidR="005E1C3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instituição</w:t>
      </w:r>
      <w:r w:rsidR="005E1C38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67996AFD" w14:textId="39707467" w:rsidR="00B611D9" w:rsidRDefault="00B611D9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</w:t>
      </w:r>
    </w:p>
    <w:p w14:paraId="486A9A32" w14:textId="1AFC13EE" w:rsidR="00B611D9" w:rsidRDefault="00B611D9" w:rsidP="00F3233F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proofErr w:type="spellStart"/>
      <w:r w:rsidRPr="003D081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Dialler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 - 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tipo específico de </w:t>
      </w:r>
      <w:r w:rsidRPr="00F3233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spyware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que tem 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como função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gerar ligações para um determinado número de telefone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CB0B97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uma vez instalados no computador ou rede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utilizador.</w:t>
      </w:r>
    </w:p>
    <w:p w14:paraId="1EF926C5" w14:textId="77777777" w:rsidR="00B611D9" w:rsidRDefault="00B611D9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3688ECA6" w14:textId="13AAEAAA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</w:t>
      </w:r>
    </w:p>
    <w:p w14:paraId="3DEB7FF6" w14:textId="77777777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Evento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- ocorrência observável num sistema de informação ou rede.</w:t>
      </w:r>
      <w:r w:rsidRPr="00652748" w:rsidDel="00BB6B32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0E98CA2D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</w:t>
      </w:r>
    </w:p>
    <w:p w14:paraId="1690D09B" w14:textId="77777777" w:rsid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Incidente cibernético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- ocorrência que coloque em risco a integridade, confidencialidade ou disponibilidade da informação, ou constitua uma violação ou ameaça iminente de violação da lei, das políticas de segurança, procedimentos de segurança ou políticas de uso aceitáveis.</w:t>
      </w:r>
    </w:p>
    <w:p w14:paraId="658614A7" w14:textId="77777777" w:rsidR="00064FD0" w:rsidRDefault="00064FD0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2EF6FC3" w14:textId="502D42FB" w:rsidR="00064FD0" w:rsidRPr="000A2C07" w:rsidRDefault="00064FD0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3D081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Incidente Tecnológico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A773E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–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A773E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ocorrência que resulta na </w:t>
      </w:r>
      <w:r w:rsidR="00A773EE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falha, interrupção ou mau funcionamento de sistemas</w:t>
      </w:r>
      <w:r w:rsidR="002426BB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informáticos</w:t>
      </w:r>
      <w:r w:rsidR="00A773EE" w:rsidRPr="003D0813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equipamentos ou infraestrutura </w:t>
      </w:r>
      <w:r w:rsidR="006B0FAD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de redes de comunicações</w:t>
      </w:r>
      <w:r w:rsidR="00A773E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4C9F7CE2" w14:textId="77777777" w:rsidR="00652748" w:rsidRPr="00652748" w:rsidRDefault="00652748" w:rsidP="00652748">
      <w:pPr>
        <w:spacing w:after="16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M</w:t>
      </w:r>
    </w:p>
    <w:p w14:paraId="1D86DB3F" w14:textId="77777777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</w:pPr>
      <w:r w:rsidRPr="00F3233F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C</w:t>
      </w:r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ódigo Malicioso</w:t>
      </w:r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 – </w:t>
      </w:r>
      <w:proofErr w:type="spellStart"/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>firmware</w:t>
      </w:r>
      <w:proofErr w:type="spellEnd"/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 ou software</w:t>
      </w:r>
      <w:r w:rsidRPr="00652748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pt-PT"/>
        </w:rPr>
        <w:t xml:space="preserve"> intencionalmente incluído ou inserido em um sistema para fins prejudiciais.</w:t>
      </w:r>
    </w:p>
    <w:p w14:paraId="5995BE00" w14:textId="77777777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P</w:t>
      </w:r>
    </w:p>
    <w:p w14:paraId="003BC65F" w14:textId="444EF3DD" w:rsidR="00652748" w:rsidRPr="00652748" w:rsidRDefault="00652748" w:rsidP="00652748">
      <w:pPr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 xml:space="preserve">Proxy </w:t>
      </w:r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- </w:t>
      </w:r>
      <w:r w:rsidRPr="00F3233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recebe pacotes de rede de um cliente e os envia em nome do cliente para o destino desejado.</w:t>
      </w:r>
    </w:p>
    <w:p w14:paraId="1035E136" w14:textId="77777777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</w:t>
      </w:r>
    </w:p>
    <w:p w14:paraId="1114D7D6" w14:textId="77777777" w:rsidR="00AA2DC4" w:rsidRPr="00652748" w:rsidRDefault="00AA2DC4" w:rsidP="00AA2DC4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CB17E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lastRenderedPageBreak/>
        <w:t>Scanning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 –</w:t>
      </w:r>
      <w:r w:rsidRPr="00133177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pt-PT"/>
        </w:rPr>
        <w:t>processo de varredura de sistemas, redes ou dispositivos em busca de vulnerabilidades a serem exploradas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. </w:t>
      </w:r>
    </w:p>
    <w:p w14:paraId="5D48D7B5" w14:textId="77777777" w:rsidR="003D0813" w:rsidRDefault="003D0813" w:rsidP="00DE138C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1FBA8765" w14:textId="75E13F5D" w:rsidR="00DE138C" w:rsidRDefault="00DE138C" w:rsidP="00DE138C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Sistema periférico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-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sistema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informático 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que não é essencial para as operações principais da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instituiç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ões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sendo este importante para o negócio, mas não crítico para a sua capacidade de funcionar e servir ao cliente, permitindo que as instituições desempenhem funções como 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marketing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 vendas, gestão de recursos humanos, orçamento e colaboração, entre outras.  </w:t>
      </w:r>
    </w:p>
    <w:p w14:paraId="7D34F04F" w14:textId="77777777" w:rsidR="003D0813" w:rsidRDefault="003D0813" w:rsidP="00DE138C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6E6C1C48" w14:textId="6832BACB" w:rsidR="00DE138C" w:rsidRDefault="00DE138C" w:rsidP="00DE138C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Sistema principal (</w:t>
      </w:r>
      <w:r w:rsidRPr="002A66D3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PT"/>
        </w:rPr>
        <w:t>core</w:t>
      </w:r>
      <w:r w:rsidRPr="002A66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)</w:t>
      </w:r>
      <w:r w:rsidRPr="002D54E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- </w:t>
      </w:r>
      <w:r w:rsidRPr="002D54E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todo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aquele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sistema informático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é essencial para as operações da instituição e que em caso de falha ou interrupção têm um impacto significativo no negócio. Estes são baseados em quaisquer componentes tecnológicos (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hardware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base de dados, processos, aplicações, entre outros) para a execução de funções como gestão de operações financeiras, gestão de cartões bancários, canais digitais e gestão de </w:t>
      </w:r>
      <w:proofErr w:type="spellStart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transacções</w:t>
      </w:r>
      <w:proofErr w:type="spellEnd"/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em mercados financeiros.</w:t>
      </w:r>
    </w:p>
    <w:p w14:paraId="29F62903" w14:textId="77777777" w:rsidR="00DE138C" w:rsidRPr="00652748" w:rsidRDefault="00DE138C" w:rsidP="00DE138C">
      <w:pPr>
        <w:spacing w:before="120"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7E0D9F05" w14:textId="0BA443ED" w:rsid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 xml:space="preserve">Spyware </w:t>
      </w:r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- </w:t>
      </w:r>
      <w:r w:rsidRPr="006527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pt-PT"/>
        </w:rPr>
        <w:t>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é instalado secretamente num sistema de informação para recolher informações sobre indivíduos ou organizações sem o seu conhecimento;</w:t>
      </w:r>
    </w:p>
    <w:p w14:paraId="6B9A792F" w14:textId="31D23B84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2027E18F" w14:textId="77777777" w:rsidR="00652748" w:rsidRPr="00652748" w:rsidRDefault="00652748" w:rsidP="00652748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</w:t>
      </w:r>
    </w:p>
    <w:p w14:paraId="3504EA90" w14:textId="47DF2F15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Rootkit</w:t>
      </w:r>
      <w:proofErr w:type="spellEnd"/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 xml:space="preserve"> </w:t>
      </w:r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>- 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malicioso que permite o acesso privilegiado a áreas de </w:t>
      </w:r>
      <w:r w:rsidR="00FC41CD"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um computador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corrompendo o sistema operativo ou outras aplicações, ocultando a sua presença. </w:t>
      </w:r>
    </w:p>
    <w:p w14:paraId="18A77852" w14:textId="77777777" w:rsidR="00652748" w:rsidRPr="00652748" w:rsidRDefault="00652748" w:rsidP="00652748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0204D4B4" w14:textId="480ACB32" w:rsidR="00652748" w:rsidRDefault="00652748" w:rsidP="00FC41CD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proofErr w:type="spellStart"/>
      <w:r w:rsidRPr="00652748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Ransomware</w:t>
      </w:r>
      <w:proofErr w:type="spellEnd"/>
      <w:r w:rsidRPr="0065274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 xml:space="preserve"> - software</w:t>
      </w:r>
      <w:r w:rsidRPr="00652748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infecta um computador, de modo que o utilizador não possa aceder aos dados armazenados, sendo que a reposição do acesso aos ficheiros bloqueados é condicionada ao pagamento de um valor de resgate.</w:t>
      </w:r>
    </w:p>
    <w:p w14:paraId="39B0D016" w14:textId="102DF4F7" w:rsidR="00AA0EAD" w:rsidRPr="00B611D9" w:rsidRDefault="00AA0EAD" w:rsidP="00B611D9">
      <w:p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B611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W</w:t>
      </w:r>
    </w:p>
    <w:p w14:paraId="35B48BCF" w14:textId="09B7FFA0" w:rsidR="00AA0EAD" w:rsidRDefault="00AA0EAD" w:rsidP="00FC41CD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B611D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>Worm</w:t>
      </w:r>
      <w:r w:rsidRPr="00F3233F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PT"/>
        </w:rPr>
        <w:t>-</w:t>
      </w:r>
      <w:r w:rsidRPr="009C371E">
        <w:rPr>
          <w:lang w:val="pt-PT"/>
        </w:rPr>
        <w:t xml:space="preserve"> </w:t>
      </w:r>
      <w:r w:rsidR="009C371E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p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rograma que tem a propriedade de criar réplicas de si próprio na memória de um computador, assim como a de se propagar de computador para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outro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através 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Pr="00F323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rede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6207A4B2" w14:textId="77777777" w:rsidR="003D1135" w:rsidRPr="00FC41CD" w:rsidRDefault="003D1135" w:rsidP="00FC41CD">
      <w:p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10933C09" w14:textId="77777777" w:rsidR="00A86564" w:rsidRDefault="00A8656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sectPr w:rsidR="00A86564" w:rsidSect="00EE41F0">
          <w:headerReference w:type="default" r:id="rId12"/>
          <w:pgSz w:w="11906" w:h="16838"/>
          <w:pgMar w:top="1902" w:right="1440" w:bottom="1440" w:left="1440" w:header="708" w:footer="708" w:gutter="0"/>
          <w:cols w:space="708"/>
          <w:docGrid w:linePitch="360"/>
        </w:sectPr>
      </w:pPr>
    </w:p>
    <w:p w14:paraId="0E609CCA" w14:textId="27FDB812" w:rsidR="00652748" w:rsidRPr="00652748" w:rsidRDefault="00652748" w:rsidP="003D081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lastRenderedPageBreak/>
        <w:t>ANEXO 2</w:t>
      </w:r>
    </w:p>
    <w:p w14:paraId="2B6BA8FC" w14:textId="5C3A8627" w:rsidR="00652748" w:rsidRPr="00652748" w:rsidRDefault="00467913" w:rsidP="00652748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TAXONOMIA DE INCIDENTES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 QUANTO A NATUREZA</w:t>
      </w:r>
    </w:p>
    <w:tbl>
      <w:tblPr>
        <w:tblStyle w:val="TableGrid0"/>
        <w:tblW w:w="13745" w:type="dxa"/>
        <w:tblLook w:val="04A0" w:firstRow="1" w:lastRow="0" w:firstColumn="1" w:lastColumn="0" w:noHBand="0" w:noVBand="1"/>
      </w:tblPr>
      <w:tblGrid>
        <w:gridCol w:w="1979"/>
        <w:gridCol w:w="2869"/>
        <w:gridCol w:w="3085"/>
        <w:gridCol w:w="5812"/>
      </w:tblGrid>
      <w:tr w:rsidR="00481908" w:rsidRPr="00652748" w14:paraId="6D1CDDD9" w14:textId="77777777" w:rsidTr="003D0813">
        <w:tc>
          <w:tcPr>
            <w:tcW w:w="19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0CECE" w:themeFill="background2" w:themeFillShade="E6"/>
          </w:tcPr>
          <w:p w14:paraId="525B4FF2" w14:textId="36BDC160" w:rsidR="00A23A5F" w:rsidRPr="00652748" w:rsidRDefault="003D0595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Categoria</w:t>
            </w:r>
            <w:r w:rsidR="00A23A5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869" w:type="dxa"/>
            <w:tcBorders>
              <w:top w:val="single" w:sz="24" w:space="0" w:color="auto"/>
            </w:tcBorders>
            <w:shd w:val="clear" w:color="auto" w:fill="D0CECE" w:themeFill="background2" w:themeFillShade="E6"/>
          </w:tcPr>
          <w:p w14:paraId="5C3E8D7B" w14:textId="49AECF80" w:rsidR="00A23A5F" w:rsidRPr="00652748" w:rsidRDefault="00A23A5F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Classificação</w:t>
            </w:r>
          </w:p>
        </w:tc>
        <w:tc>
          <w:tcPr>
            <w:tcW w:w="3085" w:type="dxa"/>
            <w:tcBorders>
              <w:top w:val="single" w:sz="24" w:space="0" w:color="auto"/>
            </w:tcBorders>
            <w:shd w:val="clear" w:color="auto" w:fill="D0CECE" w:themeFill="background2" w:themeFillShade="E6"/>
          </w:tcPr>
          <w:p w14:paraId="66C6A1E4" w14:textId="77777777" w:rsidR="00A23A5F" w:rsidRPr="00652748" w:rsidRDefault="00A23A5F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Tipo de Incidente</w:t>
            </w:r>
          </w:p>
        </w:tc>
        <w:tc>
          <w:tcPr>
            <w:tcW w:w="58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D3D8B7B" w14:textId="77777777" w:rsidR="00A23A5F" w:rsidRPr="00652748" w:rsidRDefault="00A23A5F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Descrição do incidente</w:t>
            </w:r>
          </w:p>
        </w:tc>
      </w:tr>
      <w:tr w:rsidR="00E53EEC" w:rsidRPr="00501ED3" w14:paraId="4BDD5E77" w14:textId="77777777" w:rsidTr="003D0813">
        <w:tc>
          <w:tcPr>
            <w:tcW w:w="1979" w:type="dxa"/>
            <w:vMerge w:val="restart"/>
            <w:tcBorders>
              <w:left w:val="single" w:sz="24" w:space="0" w:color="auto"/>
            </w:tcBorders>
          </w:tcPr>
          <w:p w14:paraId="156FCDD5" w14:textId="77777777" w:rsidR="00E53EEC" w:rsidRDefault="00E53EEC" w:rsidP="008C6D7C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Incidente Tecnológico</w:t>
            </w:r>
          </w:p>
          <w:p w14:paraId="0DE38BF3" w14:textId="77777777" w:rsidR="00E53EEC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11E2ABEF" w14:textId="77777777" w:rsidR="00E53EEC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5D70BDB" w14:textId="77777777" w:rsidR="00E53EEC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5E54A05" w14:textId="77777777" w:rsidR="00E53EEC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D7CA0F2" w14:textId="7BF62F47" w:rsidR="00E53EEC" w:rsidDel="000A2C07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8318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Problemas com sistemas</w:t>
            </w:r>
          </w:p>
        </w:tc>
        <w:tc>
          <w:tcPr>
            <w:tcW w:w="3085" w:type="dxa"/>
          </w:tcPr>
          <w:p w14:paraId="4D5CBFA3" w14:textId="77777777" w:rsidR="008318FB" w:rsidRDefault="008318FB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137628B" w14:textId="18F36B01" w:rsidR="00E53EEC" w:rsidRPr="00AF5EAF" w:rsidRDefault="00E53EEC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Erro/falha de configuração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4CC4770" w14:textId="02C6A3D9" w:rsidR="00E53EEC" w:rsidRDefault="00E53EEC" w:rsidP="003D0813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Erros de compatibilidade ou configuração entre sistemas ou de códigos fonte.</w:t>
            </w:r>
          </w:p>
        </w:tc>
      </w:tr>
      <w:tr w:rsidR="00E53EEC" w:rsidRPr="00501ED3" w14:paraId="467A4E58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45C50C4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4934E22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80AA696" w14:textId="77777777" w:rsidR="008318FB" w:rsidRDefault="008318FB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22973DF" w14:textId="2BAEC447" w:rsidR="00E53EEC" w:rsidRPr="00AF5EAF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Indisponibilidade de sistemas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B4F263A" w14:textId="0DA2E2FB" w:rsidR="00E53EEC" w:rsidRPr="003D0813" w:rsidRDefault="0074753C" w:rsidP="00986443">
            <w:pPr>
              <w:spacing w:before="120" w:after="12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Parametrização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incorrecta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sistemas ou equipamentos, falhas de equipamentos, ataques cibernéticos, interrupção de redes, manutenção de sistemas, </w:t>
            </w:r>
            <w:r w:rsidR="00986443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desastres naturais</w:t>
            </w:r>
            <w:r w:rsidR="009864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, </w:t>
            </w:r>
            <w:r w:rsidR="00AE2B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problemas de alimentação </w:t>
            </w:r>
            <w:proofErr w:type="spellStart"/>
            <w:r w:rsidR="00AE2B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eléctrica</w:t>
            </w:r>
            <w:proofErr w:type="spellEnd"/>
            <w:r w:rsidR="00AE2B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climatização</w:t>
            </w:r>
            <w:r w:rsidR="00986443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  <w:r w:rsidR="0098644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</w:t>
            </w:r>
          </w:p>
        </w:tc>
      </w:tr>
      <w:tr w:rsidR="00E53EEC" w:rsidRPr="00501ED3" w14:paraId="2285627A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D87196C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12E7044D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52BF4F03" w14:textId="77777777" w:rsidR="008318FB" w:rsidRDefault="008318FB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39CC890" w14:textId="74D4792C" w:rsidR="00E53EEC" w:rsidRDefault="00C92BFA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Lentidão de sistemas</w:t>
            </w:r>
            <w:r w:rsidDel="008C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24" w:space="0" w:color="auto"/>
            </w:tcBorders>
          </w:tcPr>
          <w:p w14:paraId="70C7228D" w14:textId="36B3A20F" w:rsidR="00E53EEC" w:rsidRPr="003D0813" w:rsidRDefault="002F5602" w:rsidP="008C0CD0">
            <w:pPr>
              <w:spacing w:before="120" w:after="12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="00C92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obrecarga de recursos, aumento do volume </w:t>
            </w:r>
            <w:proofErr w:type="spellStart"/>
            <w:r w:rsidR="00C92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transaccional</w:t>
            </w:r>
            <w:proofErr w:type="spellEnd"/>
            <w:r w:rsidR="00C92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, </w:t>
            </w:r>
            <w:r w:rsidR="00127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conexão de rede lenta, aplicações mal </w:t>
            </w:r>
            <w:proofErr w:type="spellStart"/>
            <w:r w:rsidR="00127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optimizadas</w:t>
            </w:r>
            <w:proofErr w:type="spellEnd"/>
            <w:r w:rsidR="00127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, concorrência excessiva, fragmentação da base de dados. </w:t>
            </w:r>
          </w:p>
        </w:tc>
      </w:tr>
      <w:tr w:rsidR="007414E9" w:rsidRPr="00501ED3" w14:paraId="07CB6F3D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8D3915F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77CB8A2" w14:textId="77777777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14:paraId="5056537F" w14:textId="77777777" w:rsidR="008318FB" w:rsidRDefault="008318FB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6C417DD" w14:textId="28D87FDB" w:rsidR="00E53EEC" w:rsidRDefault="00E53EEC" w:rsidP="008C0CD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Erros/Falhas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actualização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="003C6F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 versões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D43A40" w14:textId="35CB60BC" w:rsidR="00E53EEC" w:rsidRPr="003D0813" w:rsidRDefault="002F5602" w:rsidP="007D67AA">
            <w:pPr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ncompatibilidade de </w:t>
            </w:r>
            <w:proofErr w:type="spellStart"/>
            <w:r w:rsidR="007D67AA"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p</w:t>
            </w:r>
            <w:r w:rsidR="00481908"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atches</w:t>
            </w:r>
            <w:proofErr w:type="spellEnd"/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a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mbientes de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este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nadequados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e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rro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h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umano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p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roblemas de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ede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p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olíticas de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egurança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igorosas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i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nterrupções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urante a </w:t>
            </w:r>
            <w:proofErr w:type="spellStart"/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ualização</w:t>
            </w:r>
            <w:proofErr w:type="spellEnd"/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f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alta de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planeamento 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 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</w:t>
            </w:r>
            <w:r w:rsidR="00481908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gendamento</w:t>
            </w:r>
            <w:r w:rsidR="007D6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E53EEC" w:rsidRPr="00501ED3" w14:paraId="6C85A0CD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3BC66357" w14:textId="77777777" w:rsidR="00E53EEC" w:rsidRDefault="00E53EEC" w:rsidP="00E53EEC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4DDCEFB" w14:textId="77777777" w:rsidR="00E53EEC" w:rsidRDefault="00E53EEC" w:rsidP="00E53EEC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47143CE" w14:textId="77777777" w:rsidR="00E53EEC" w:rsidRDefault="00E53EEC" w:rsidP="00E53EEC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Outros</w:t>
            </w:r>
          </w:p>
          <w:p w14:paraId="0C5A4CE0" w14:textId="77777777" w:rsidR="00E53EEC" w:rsidRDefault="00E53EEC" w:rsidP="00E53EEC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24" w:space="0" w:color="auto"/>
            </w:tcBorders>
          </w:tcPr>
          <w:p w14:paraId="7F43F11B" w14:textId="71E537D7" w:rsidR="00E53EEC" w:rsidRPr="00CF7677" w:rsidRDefault="00E53EEC" w:rsidP="00E53EEC">
            <w:pPr>
              <w:spacing w:before="120"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Qualquer incidente que não se enquadra em nenhuma das categorias anteriores</w:t>
            </w:r>
            <w:r w:rsidR="00C67E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285E13" w14:paraId="4C9AB573" w14:textId="77777777" w:rsidTr="003D0813">
        <w:tc>
          <w:tcPr>
            <w:tcW w:w="1979" w:type="dxa"/>
            <w:vMerge w:val="restart"/>
            <w:tcBorders>
              <w:left w:val="single" w:sz="24" w:space="0" w:color="auto"/>
            </w:tcBorders>
          </w:tcPr>
          <w:p w14:paraId="6773A205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929267D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D819A8B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1F75BCD5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5213AD4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D9E4222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15E2776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42F1ADD" w14:textId="2E80A4DD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Incidente Tecnológico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.)</w:t>
            </w:r>
          </w:p>
        </w:tc>
        <w:tc>
          <w:tcPr>
            <w:tcW w:w="2869" w:type="dxa"/>
            <w:vMerge w:val="restart"/>
          </w:tcPr>
          <w:p w14:paraId="07F71D2C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C1E68EC" w14:textId="24B2446C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Falhas de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equipamento</w:t>
            </w:r>
          </w:p>
          <w:p w14:paraId="7E267E93" w14:textId="4EFCF1D1" w:rsidR="000A44EE" w:rsidDel="000A2C07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25D2DBFE" w14:textId="5CF45A2D" w:rsidR="000A44EE" w:rsidRPr="00AF5EAF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Configuração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incorrecta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54E6C3A" w14:textId="540276FF" w:rsidR="000A44EE" w:rsidRDefault="000A44EE" w:rsidP="003D0813">
            <w:pPr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Parametrizações inadequadas de equipamentos.</w:t>
            </w:r>
          </w:p>
        </w:tc>
      </w:tr>
      <w:tr w:rsidR="000A44EE" w:rsidRPr="00501ED3" w14:paraId="2AAA4ECB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9FEFD14" w14:textId="77777777" w:rsidR="000A44EE" w:rsidRDefault="000A44EE" w:rsidP="007414E9">
            <w:pPr>
              <w:spacing w:after="16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263FBC69" w14:textId="77777777" w:rsidR="000A44EE" w:rsidDel="000A2C07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762BE14E" w14:textId="1BCED298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Obsolescência 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C6F7363" w14:textId="1B1F2B8E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Equipamento obsoleto e fora do período de suporte.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0A44EE" w:rsidRPr="00501ED3" w14:paraId="4871A3A8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1AC679C" w14:textId="6DA565A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E0F74CF" w14:textId="0DFD67D6" w:rsidR="000A44EE" w:rsidRPr="00652748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200F853" w14:textId="65F79F66" w:rsidR="000A44EE" w:rsidRPr="00AF5EAF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AF5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Dano ou quebra física de equipamento</w:t>
            </w:r>
            <w:r w:rsidR="00AA2D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3A4371CD" w14:textId="69C7EE40" w:rsidR="000A44EE" w:rsidRPr="00652748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Quebra física de servidores, terminais, dispositivos móveis e equipamentos rede causados por defeitos de fabrico.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0A44EE" w:rsidRPr="00501ED3" w14:paraId="3DBDB5CF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35508334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CC6210E" w14:textId="77777777" w:rsidR="000A44EE" w:rsidRPr="006B0FAD" w:rsidRDefault="000A44EE" w:rsidP="007414E9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7EEF4A6" w14:textId="70AA5A20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Sobrecarga 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752C40C5" w14:textId="6C51A69C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Equipamento a funcionar acima das suas capacidades por um período extenso resultante de dimensionamento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incorrecto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. </w:t>
            </w:r>
          </w:p>
        </w:tc>
      </w:tr>
      <w:tr w:rsidR="000A44EE" w:rsidRPr="00501ED3" w14:paraId="37155B99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F10345C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3BB59473" w14:textId="77777777" w:rsidR="000A44EE" w:rsidRPr="006B0FAD" w:rsidRDefault="000A44EE" w:rsidP="007414E9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00CD040" w14:textId="2212BD61" w:rsidR="000A44EE" w:rsidDel="0043061E" w:rsidRDefault="000A44EE" w:rsidP="0043061E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proofErr w:type="spellStart"/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Firmware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não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actualizado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469E043C" w14:textId="2FDDF09B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actualização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</w:t>
            </w:r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software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embutido em </w:t>
            </w:r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hardware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576856A0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20758B1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0EE23587" w14:textId="77777777" w:rsidR="000A44EE" w:rsidRPr="006B0FAD" w:rsidRDefault="000A44EE" w:rsidP="007414E9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72C2A80" w14:textId="67AB06C9" w:rsidR="000A44EE" w:rsidRPr="00AF5EAF" w:rsidRDefault="000A44EE" w:rsidP="0043061E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Outros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4673BA8" w14:textId="51035313" w:rsidR="000A44EE" w:rsidRPr="00AF5EAF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Qualquer incidente que não se enquadra em nenhuma das categorias anteriores.</w:t>
            </w:r>
          </w:p>
        </w:tc>
      </w:tr>
      <w:tr w:rsidR="000A44EE" w:rsidRPr="00501ED3" w14:paraId="40F7CA04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467D9DB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3592BA20" w14:textId="27303B17" w:rsidR="000A44EE" w:rsidRPr="004943E2" w:rsidRDefault="000A44EE" w:rsidP="007414E9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B0F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Falhas/Interrupção da infraestrutura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 redes de comunicações</w:t>
            </w:r>
          </w:p>
          <w:p w14:paraId="2F1D96BA" w14:textId="4B20D702" w:rsidR="000A44EE" w:rsidRPr="003D0813" w:rsidRDefault="000A44EE" w:rsidP="003D0813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D2C3431" w14:textId="053E5AEA" w:rsidR="000A44EE" w:rsidRPr="00AF5EAF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Erros/f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alhas 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equipamentos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Rede</w:t>
            </w:r>
            <w:r w:rsidRPr="00AF5EAF" w:rsidDel="006220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43DAEE61" w14:textId="592FB636" w:rsidR="000A44EE" w:rsidRPr="00652748" w:rsidRDefault="000A44EE" w:rsidP="00D10A2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 em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switches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, roteadores,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firewalls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equipamentos de Segurança de Rede, IDS (sistemas de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detecção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intrusão) e IPS (sistemas de prevenção de intrusão).</w:t>
            </w:r>
          </w:p>
        </w:tc>
      </w:tr>
      <w:tr w:rsidR="000A44EE" w:rsidRPr="00501ED3" w14:paraId="7AC55CB8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82DD34E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21103260" w14:textId="5C3342B3" w:rsidR="000A44EE" w:rsidRPr="003D0813" w:rsidRDefault="000A44EE" w:rsidP="003D0813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5695AF4" w14:textId="45E54829" w:rsidR="000A44EE" w:rsidRPr="00AF5EAF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roblemas com cabos e conexões físicas</w:t>
            </w:r>
            <w:r w:rsidRPr="00622044" w:rsidDel="006220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35D30075" w14:textId="2503F696" w:rsidR="000A44EE" w:rsidRPr="003D0813" w:rsidRDefault="000A44EE" w:rsidP="00E473A0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Desconexão ou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ano 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abos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p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roblemas em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ontos 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onexão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4B8AA895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2E4E4FD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2318850" w14:textId="32C09117" w:rsidR="000A44EE" w:rsidRPr="003D0813" w:rsidRDefault="000A44EE" w:rsidP="003D0813">
            <w:pPr>
              <w:spacing w:after="16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1474D11" w14:textId="2417A871" w:rsidR="000A44EE" w:rsidRPr="00AF5EAF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alhas em </w:t>
            </w:r>
            <w:r w:rsidR="00BE45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ligações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 internet ou provedor de serviço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7643D26" w14:textId="5A102691" w:rsidR="000A44EE" w:rsidRPr="00652748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Interrupção do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erviço 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nternet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p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roblemas em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onexões de Backup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51A4D978" w14:textId="77777777" w:rsidTr="003D0813">
        <w:tc>
          <w:tcPr>
            <w:tcW w:w="1979" w:type="dxa"/>
            <w:vMerge w:val="restart"/>
            <w:tcBorders>
              <w:left w:val="single" w:sz="24" w:space="0" w:color="auto"/>
            </w:tcBorders>
          </w:tcPr>
          <w:p w14:paraId="6774730D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713C8DA3" w14:textId="77777777" w:rsidR="000A44EE" w:rsidRPr="003D0813" w:rsidRDefault="000A44EE" w:rsidP="000A44EE">
            <w:pPr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4A3ABAAF" w14:textId="47F28436" w:rsidR="000A44EE" w:rsidRPr="004943E2" w:rsidRDefault="000A44EE" w:rsidP="000A44EE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B0F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Falhas/Interrupção da infraestrutura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 redes de comunicações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.)</w:t>
            </w:r>
          </w:p>
          <w:p w14:paraId="56FC91C8" w14:textId="77777777" w:rsidR="000A44EE" w:rsidRPr="003D0813" w:rsidRDefault="000A44EE" w:rsidP="003D0813">
            <w:pPr>
              <w:spacing w:before="120" w:after="12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796EB593" w14:textId="77777777" w:rsidR="000A44EE" w:rsidRPr="00622044" w:rsidRDefault="000A44EE" w:rsidP="00F7088F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2738D246" w14:textId="67EE7920" w:rsidR="000A44EE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Congestionamento 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obrecarga de </w:t>
            </w:r>
            <w:r w:rsidR="00BE45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ede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49E7834C" w14:textId="6472B1C8" w:rsidR="000A44EE" w:rsidRPr="00652748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Alta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utilização de largura de banda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a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taques de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DDoS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(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Distributed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Denial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of</w:t>
            </w:r>
            <w:proofErr w:type="spellEnd"/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Service)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7C802384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CE65FAA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1CF0C477" w14:textId="77777777" w:rsidR="000A44EE" w:rsidRPr="00622044" w:rsidRDefault="000A44EE" w:rsidP="00F7088F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5BADDC8D" w14:textId="69CE5EE8" w:rsidR="000A44EE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Problemas de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configuração de rede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37F2E677" w14:textId="2000E390" w:rsidR="000A44EE" w:rsidRPr="00652748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Configuração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incorreta de roteadores e </w:t>
            </w:r>
            <w:proofErr w:type="spellStart"/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switches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c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onfigurações de DNS e DHCP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7AF368CC" w14:textId="77777777" w:rsidTr="003D0813">
        <w:trPr>
          <w:trHeight w:val="916"/>
        </w:trPr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7D0B36C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3C800609" w14:textId="77777777" w:rsidR="000A44EE" w:rsidRPr="00622044" w:rsidRDefault="000A44EE" w:rsidP="00F7088F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6744BE8" w14:textId="7BF3FF65" w:rsidR="000A44EE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Falhas em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equipamentos de comunicação </w:t>
            </w:r>
            <w:r w:rsidRPr="003D08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wireless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690C572" w14:textId="757FB2D3" w:rsidR="000A44EE" w:rsidRPr="00652748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Problemas em Pontos de Acesso Wi-Fi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i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nterferência de Sinais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6449F665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1C8708C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21927723" w14:textId="77777777" w:rsidR="000A44EE" w:rsidRPr="00622044" w:rsidRDefault="000A44EE" w:rsidP="00F7088F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AF1501C" w14:textId="65356DB5" w:rsidR="000A44EE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Falhas em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sistemas de alimentação e energia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669B0634" w14:textId="77C14E0C" w:rsidR="000A44EE" w:rsidRPr="00652748" w:rsidRDefault="000A44EE" w:rsidP="003D0813">
            <w:pPr>
              <w:spacing w:before="120" w:after="120" w:line="360" w:lineRule="auto"/>
              <w:ind w:left="-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Quedas de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energia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p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icos de tensão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2903CBBA" w14:textId="77777777" w:rsidTr="003D081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20E9362" w14:textId="77777777" w:rsidR="000A44EE" w:rsidRDefault="000A44EE" w:rsidP="007414E9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438FE73" w14:textId="77777777" w:rsidR="000A44EE" w:rsidRPr="00622044" w:rsidRDefault="000A44EE" w:rsidP="00F7088F">
            <w:pPr>
              <w:spacing w:after="16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79867889" w14:textId="730E8DBD" w:rsidR="000A44EE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Problemas de </w:t>
            </w:r>
            <w:r w:rsidR="00BE45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l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atência e </w:t>
            </w:r>
            <w:r w:rsidR="00BE45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erda de </w:t>
            </w:r>
            <w:r w:rsidR="00BE45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acotes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36CB1C27" w14:textId="0D783CDD" w:rsidR="000A44EE" w:rsidRPr="00652748" w:rsidRDefault="000A44EE" w:rsidP="003D0813">
            <w:pPr>
              <w:spacing w:before="120" w:after="120" w:line="360" w:lineRule="auto"/>
              <w:ind w:left="-1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Alta 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latência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 p</w:t>
            </w:r>
            <w:r w:rsidRPr="00E473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erda de pacotes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2DF6E8D9" w14:textId="77777777" w:rsidTr="003D0813">
        <w:tc>
          <w:tcPr>
            <w:tcW w:w="197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26A8BC0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  <w:tcBorders>
              <w:bottom w:val="single" w:sz="24" w:space="0" w:color="auto"/>
            </w:tcBorders>
          </w:tcPr>
          <w:p w14:paraId="7C804B2B" w14:textId="6E8A4CE5" w:rsidR="000A44EE" w:rsidDel="000A2C07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  <w:tcBorders>
              <w:bottom w:val="single" w:sz="24" w:space="0" w:color="auto"/>
            </w:tcBorders>
          </w:tcPr>
          <w:p w14:paraId="60D0ABBA" w14:textId="321BD921" w:rsidR="000A44EE" w:rsidRPr="00AF5EAF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Outros</w:t>
            </w:r>
          </w:p>
        </w:tc>
        <w:tc>
          <w:tcPr>
            <w:tcW w:w="5812" w:type="dxa"/>
            <w:tcBorders>
              <w:bottom w:val="single" w:sz="24" w:space="0" w:color="auto"/>
              <w:right w:val="single" w:sz="24" w:space="0" w:color="auto"/>
            </w:tcBorders>
          </w:tcPr>
          <w:p w14:paraId="4058E932" w14:textId="5FAFFB0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Qualquer incidente que não se enquadra em nenhuma das categorias anteriores.</w:t>
            </w:r>
          </w:p>
        </w:tc>
      </w:tr>
      <w:tr w:rsidR="000A44EE" w:rsidRPr="00501ED3" w14:paraId="35A78B27" w14:textId="77777777" w:rsidTr="00450DD9">
        <w:tc>
          <w:tcPr>
            <w:tcW w:w="197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09AE16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782CA2C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1291EC04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lastRenderedPageBreak/>
              <w:t>Incidente Cibernético</w:t>
            </w:r>
          </w:p>
          <w:p w14:paraId="4F03E2A3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6FE93C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ED5AE8A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8BCC272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686C8BC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A1BBD98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C654812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A75A50B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560320D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290E7418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158D96B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65F6A31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88BB0A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DDFF009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87DD67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3789C25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251003EA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090B9B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8F01BBF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2288170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2C0D9F83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D7D5C6E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13BA15F7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631C333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8404FA8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59ED021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527F3B7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2BAF6B48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15094C9A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CB8904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C7208AC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48D21F1D" w14:textId="1682EB1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  <w:tcBorders>
              <w:top w:val="single" w:sz="24" w:space="0" w:color="auto"/>
            </w:tcBorders>
          </w:tcPr>
          <w:p w14:paraId="541583E5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lastRenderedPageBreak/>
              <w:t>Conteúdo abusivo</w:t>
            </w:r>
          </w:p>
          <w:p w14:paraId="20EB0A89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3BC8D530" w14:textId="0B8DF6AF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lastRenderedPageBreak/>
              <w:t>Conteúdo abusivo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</w:t>
            </w:r>
          </w:p>
          <w:p w14:paraId="0887D8C9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77EF9358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0777CAE4" w14:textId="1416C6B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  <w:tcBorders>
              <w:top w:val="single" w:sz="24" w:space="0" w:color="auto"/>
            </w:tcBorders>
          </w:tcPr>
          <w:p w14:paraId="19AF4673" w14:textId="10663A1C" w:rsidR="000A44EE" w:rsidRPr="00AA0EAD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</w:pPr>
            <w:r w:rsidRPr="00AA0EAD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lastRenderedPageBreak/>
              <w:t>Spam</w:t>
            </w:r>
          </w:p>
        </w:tc>
        <w:tc>
          <w:tcPr>
            <w:tcW w:w="5812" w:type="dxa"/>
            <w:tcBorders>
              <w:top w:val="single" w:sz="24" w:space="0" w:color="auto"/>
              <w:right w:val="single" w:sz="24" w:space="0" w:color="auto"/>
            </w:tcBorders>
          </w:tcPr>
          <w:p w14:paraId="742E7766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Correio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electrónico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em massa não solicitado. O destinatário do conteúdo não deu uma autorização válida para receber uma mensagem em massa.</w:t>
            </w:r>
          </w:p>
        </w:tc>
      </w:tr>
      <w:tr w:rsidR="000A44EE" w:rsidRPr="00501ED3" w14:paraId="12AD4C7A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ED71C3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7921DD3" w14:textId="4000840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B8F0C8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Crimes de ódio, crimes contra a liberdade ou a honra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79DF9D95" w14:textId="05C40D46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Conteúdo difamatório ou discriminatório. Por exemplo: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y</w:t>
            </w: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berbullying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racismo, ameaças a uma pessoa ou dirigidas a grupos, entre outro.</w:t>
            </w:r>
          </w:p>
        </w:tc>
      </w:tr>
      <w:tr w:rsidR="000A44EE" w:rsidRPr="00501ED3" w14:paraId="20C60A7A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366FEE4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1D5B94CD" w14:textId="4D61A7D1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5D6843F4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Pornografia infantil, conteúdos sexuais ou violentos 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403CC6C" w14:textId="58C3A866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Material que apresente visualmente conteúdos relacionados com pornografia infantil, apologia da violência,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entre outros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5DD8904A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77CCC26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688CA97C" w14:textId="7F158643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Código malicioso</w:t>
            </w:r>
          </w:p>
        </w:tc>
        <w:tc>
          <w:tcPr>
            <w:tcW w:w="3085" w:type="dxa"/>
          </w:tcPr>
          <w:p w14:paraId="774ED89A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Worm</w:t>
            </w:r>
          </w:p>
        </w:tc>
        <w:tc>
          <w:tcPr>
            <w:tcW w:w="5812" w:type="dxa"/>
            <w:vMerge w:val="restart"/>
            <w:tcBorders>
              <w:right w:val="single" w:sz="24" w:space="0" w:color="auto"/>
            </w:tcBorders>
          </w:tcPr>
          <w:p w14:paraId="26D894FE" w14:textId="029F0619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Software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que é intencionalmente incluído ou inserido num sistema com finalidade prejudicial. Normalmente, é necessária uma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intera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ção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utilizador para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activar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o código.</w:t>
            </w:r>
          </w:p>
        </w:tc>
      </w:tr>
      <w:tr w:rsidR="000A44EE" w:rsidRPr="00652748" w14:paraId="28594A84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CD68A86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582453AD" w14:textId="054BED2D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4AB0A2A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Trojan</w:t>
            </w:r>
          </w:p>
        </w:tc>
        <w:tc>
          <w:tcPr>
            <w:tcW w:w="5812" w:type="dxa"/>
            <w:vMerge/>
            <w:tcBorders>
              <w:right w:val="single" w:sz="24" w:space="0" w:color="auto"/>
            </w:tcBorders>
          </w:tcPr>
          <w:p w14:paraId="30B1997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</w:tr>
      <w:tr w:rsidR="000A44EE" w:rsidRPr="00652748" w14:paraId="70E07920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818ABF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048C6D18" w14:textId="5D8D12D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A41DB9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Spyware</w:t>
            </w:r>
          </w:p>
        </w:tc>
        <w:tc>
          <w:tcPr>
            <w:tcW w:w="5812" w:type="dxa"/>
            <w:vMerge/>
            <w:tcBorders>
              <w:right w:val="single" w:sz="24" w:space="0" w:color="auto"/>
            </w:tcBorders>
          </w:tcPr>
          <w:p w14:paraId="6B92916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</w:tr>
      <w:tr w:rsidR="000A44EE" w:rsidRPr="00652748" w14:paraId="18AA9053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EB32C7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E93ABB2" w14:textId="358A88E9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22EBB3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Dialler</w:t>
            </w:r>
            <w:proofErr w:type="spellEnd"/>
          </w:p>
        </w:tc>
        <w:tc>
          <w:tcPr>
            <w:tcW w:w="5812" w:type="dxa"/>
            <w:vMerge/>
            <w:tcBorders>
              <w:right w:val="single" w:sz="24" w:space="0" w:color="auto"/>
            </w:tcBorders>
          </w:tcPr>
          <w:p w14:paraId="45D1B21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</w:tr>
      <w:tr w:rsidR="000A44EE" w:rsidRPr="00652748" w14:paraId="76C6F19D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4DE063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26F83D0" w14:textId="5ABE62B8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6B209D3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Rootkit</w:t>
            </w:r>
            <w:proofErr w:type="spellEnd"/>
          </w:p>
        </w:tc>
        <w:tc>
          <w:tcPr>
            <w:tcW w:w="5812" w:type="dxa"/>
            <w:vMerge/>
            <w:tcBorders>
              <w:right w:val="single" w:sz="24" w:space="0" w:color="auto"/>
            </w:tcBorders>
          </w:tcPr>
          <w:p w14:paraId="5D3C8BAA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</w:tr>
      <w:tr w:rsidR="000A44EE" w:rsidRPr="00501ED3" w14:paraId="471E175F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350183E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493013B6" w14:textId="64A1FA05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Recolha de informações</w:t>
            </w:r>
          </w:p>
        </w:tc>
        <w:tc>
          <w:tcPr>
            <w:tcW w:w="3085" w:type="dxa"/>
          </w:tcPr>
          <w:p w14:paraId="54711AB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Scanning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21B948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Ataques que enviam pedidos a um sistema para descobrir pontos fracos. Isto inclui também algum tipo de processos de teste para recolher informações sobre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hosts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serviços e contas.</w:t>
            </w:r>
          </w:p>
        </w:tc>
      </w:tr>
      <w:tr w:rsidR="000A44EE" w:rsidRPr="00501ED3" w14:paraId="0732EEF4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BE3205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8737BEA" w14:textId="162F33CE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165A92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Sniffing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416512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Observação e registo do tráfego da rede (escutas telefónicas).</w:t>
            </w:r>
          </w:p>
        </w:tc>
      </w:tr>
      <w:tr w:rsidR="000A44EE" w:rsidRPr="00501ED3" w14:paraId="7A057DF1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55E5E68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805AE34" w14:textId="435D1794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CF8D72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Engenharia social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1620FD1" w14:textId="3EE51CFD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9C371E">
              <w:rPr>
                <w:lang w:val="pt-PT"/>
              </w:rPr>
              <w:t xml:space="preserve"> 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Técnicas </w:t>
            </w:r>
            <w:r w:rsidRPr="000F3D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utilizadas</w:t>
            </w:r>
            <w:r w:rsidRPr="009536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para obter informações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confidenciais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através de ações que enganam ou exploram a confiança das pessoas.</w:t>
            </w:r>
          </w:p>
        </w:tc>
      </w:tr>
      <w:tr w:rsidR="000A44EE" w:rsidRPr="00501ED3" w14:paraId="451B4D18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4FA3DB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3FBD8F85" w14:textId="7058AD38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Tentativa de intrusão</w:t>
            </w:r>
          </w:p>
        </w:tc>
        <w:tc>
          <w:tcPr>
            <w:tcW w:w="3085" w:type="dxa"/>
          </w:tcPr>
          <w:p w14:paraId="6637BCA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Exploração de vulnerabilidades conhecidas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34D3C9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Uma tentativa de comprometer um sistema ou de perturbar qualquer serviço através da exploração de vulnerabilidades.</w:t>
            </w:r>
          </w:p>
        </w:tc>
      </w:tr>
      <w:tr w:rsidR="000A44EE" w:rsidRPr="00501ED3" w14:paraId="672CCEAC" w14:textId="77777777" w:rsidTr="00450DD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1C2EF7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3696770" w14:textId="5F1DB559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DB21CB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Tentativa de acesso com violação de credenciais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75054B75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Várias tentativas de violação de credenciais. Por exemplo, tentativas de quebra de palavra-passe, ataque de força bruta.</w:t>
            </w:r>
          </w:p>
        </w:tc>
      </w:tr>
      <w:tr w:rsidR="000A44EE" w:rsidRPr="00501ED3" w14:paraId="11CB69CA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771E0F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3D019066" w14:textId="7E68D9A1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00D72D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Ataque desconhecido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EFAACF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Tentativa de utilizar uma exploração desconhecida.</w:t>
            </w:r>
          </w:p>
        </w:tc>
      </w:tr>
      <w:tr w:rsidR="000A44EE" w:rsidRPr="00501ED3" w14:paraId="24A2955C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2964DE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43A61F82" w14:textId="06CF1CF3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Intrusão</w:t>
            </w:r>
          </w:p>
        </w:tc>
        <w:tc>
          <w:tcPr>
            <w:tcW w:w="3085" w:type="dxa"/>
          </w:tcPr>
          <w:p w14:paraId="57138FB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conta privilegiada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47E8434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um sistema em que o atacante adquiriu privilégios elevados.</w:t>
            </w:r>
          </w:p>
        </w:tc>
      </w:tr>
      <w:tr w:rsidR="000A44EE" w:rsidRPr="00501ED3" w14:paraId="472060C3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F67B266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0C48B56E" w14:textId="6B365BAB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5C64E99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uma conta sem privilégios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6633621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um sistema que utiliza contas sem privilégios.</w:t>
            </w:r>
          </w:p>
        </w:tc>
      </w:tr>
      <w:tr w:rsidR="000A44EE" w:rsidRPr="00652748" w14:paraId="1ED93521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1E1719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02CEB56" w14:textId="6833AF85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64D1B8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aplicações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7270435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Comprometimento de uma aplicação através da exploração de vulnerabilidades de software. Por exemplo, SQL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injection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3F42B94C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7275496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54003BAA" w14:textId="60CE5888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Ind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isponibilidade</w:t>
            </w:r>
          </w:p>
        </w:tc>
        <w:tc>
          <w:tcPr>
            <w:tcW w:w="3085" w:type="dxa"/>
          </w:tcPr>
          <w:p w14:paraId="27FDDD2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(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Denial-of-Service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118CB7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Ataque de negação de serviço. Por exemplo: envio de pedidos excessivos a uma aplicação Web que provoque a interrupção ou o abrandamento da prestação do serviço.</w:t>
            </w:r>
          </w:p>
        </w:tc>
      </w:tr>
      <w:tr w:rsidR="000A44EE" w:rsidRPr="00501ED3" w14:paraId="79E8EFBC" w14:textId="77777777" w:rsidTr="00994F23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BD85DA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DCB785D" w14:textId="6AE4F002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01D58D3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DDoS (</w:t>
            </w:r>
            <w:r w:rsidRPr="00F3233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GB"/>
              </w:rPr>
              <w:t>Distributed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Denial-of-Service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7897FD9A" w14:textId="3EE7843A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Ataque distribuído de negação de serviço. </w:t>
            </w:r>
          </w:p>
        </w:tc>
      </w:tr>
      <w:tr w:rsidR="000A44EE" w:rsidRPr="00501ED3" w14:paraId="70C875E2" w14:textId="77777777" w:rsidTr="00FE47DA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11EF9D2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841FAB3" w14:textId="668EDE36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63BAB8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Má configuração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A300F52" w14:textId="2899F218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Configuração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incorrecta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</w:t>
            </w:r>
            <w:r w:rsidRPr="0065274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software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que causa problemas de disponibilidade do serviço. </w:t>
            </w:r>
          </w:p>
        </w:tc>
      </w:tr>
      <w:tr w:rsidR="000A44EE" w:rsidRPr="00501ED3" w14:paraId="4308D4C7" w14:textId="77777777" w:rsidTr="00FE47DA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53F6486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555F48AD" w14:textId="306CAB59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373EC24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Sabotagem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136EC01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Sabotagem física. Por exemplo: cortes na cablagem do equipamento ou fogo posto</w:t>
            </w:r>
          </w:p>
        </w:tc>
      </w:tr>
      <w:tr w:rsidR="000A44EE" w:rsidRPr="00652748" w14:paraId="5CC2D22E" w14:textId="77777777" w:rsidTr="00FE47DA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3BEF84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4D7BE25" w14:textId="2A45684C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23A661D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Interrupções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41044B20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Interrupções devidas a causas externas. Por exemplo: catástrofe natural.</w:t>
            </w:r>
          </w:p>
        </w:tc>
      </w:tr>
      <w:tr w:rsidR="000A44EE" w:rsidRPr="00501ED3" w14:paraId="666F6ED0" w14:textId="77777777" w:rsidTr="00FE47DA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D39EE6A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39061A75" w14:textId="1046F53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Comprometimento de informações</w:t>
            </w:r>
          </w:p>
        </w:tc>
        <w:tc>
          <w:tcPr>
            <w:tcW w:w="3085" w:type="dxa"/>
          </w:tcPr>
          <w:p w14:paraId="3A31DBF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Acesso não autorizado a informações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5D13874" w14:textId="6E61A68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Acesso não autorizado à informação. Por exemplo: roubo de credenciais de acesso através da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interce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ção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tráfego ou do acesso a documentos físicos.</w:t>
            </w:r>
          </w:p>
        </w:tc>
      </w:tr>
      <w:tr w:rsidR="000A44EE" w:rsidRPr="00501ED3" w14:paraId="2CCCA6C8" w14:textId="77777777" w:rsidTr="00FE47DA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BC4F5A4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5BFB1600" w14:textId="027C0B2A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A87E22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Alteração não autorizada de informações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9FCD2E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Alteração não autorizada de informações.</w:t>
            </w:r>
          </w:p>
          <w:p w14:paraId="5334D498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Por exemplo: modificação por um atacante utilizando credenciais roubadas de um sistema ou aplicação ou cifragem de dados por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ransomware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33A37282" w14:textId="77777777" w:rsidTr="00D15E5E">
        <w:tc>
          <w:tcPr>
            <w:tcW w:w="1979" w:type="dxa"/>
            <w:vMerge w:val="restart"/>
            <w:tcBorders>
              <w:left w:val="single" w:sz="24" w:space="0" w:color="auto"/>
            </w:tcBorders>
          </w:tcPr>
          <w:p w14:paraId="5862FC5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2271F26" w14:textId="7E1074E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71E2BC2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Perda de dados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258618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Perda de informações, por exemplo, devido a uma falha do disco rígido ou roubo físico.</w:t>
            </w:r>
          </w:p>
        </w:tc>
      </w:tr>
      <w:tr w:rsidR="000A44EE" w:rsidRPr="00501ED3" w14:paraId="3033B794" w14:textId="77777777" w:rsidTr="00D15E5E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749D8386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206CAA9D" w14:textId="6878929D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Fraude</w:t>
            </w:r>
          </w:p>
        </w:tc>
        <w:tc>
          <w:tcPr>
            <w:tcW w:w="3085" w:type="dxa"/>
          </w:tcPr>
          <w:p w14:paraId="03DA0428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Utilização não autorizada de recursos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DDE3212" w14:textId="2520BC1B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Utilização de recursos para fins impróprios, incluindo fins lucrativos. </w:t>
            </w:r>
          </w:p>
        </w:tc>
      </w:tr>
      <w:tr w:rsidR="000A44EE" w:rsidRPr="00501ED3" w14:paraId="479AB0CB" w14:textId="77777777" w:rsidTr="00D15E5E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72F2ECD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4B1676D7" w14:textId="59CB9A7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7D9FA4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Direitos de autor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406396BD" w14:textId="3384F68C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cesso não autorizado a cópia ou a distribuição ilegal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através da pirataria em </w:t>
            </w:r>
            <w:r w:rsidRPr="00133177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>software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ou violação de direitos em código fonte, 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protegido por direitos autorais através de meios digitais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0CF9AC32" w14:textId="77777777" w:rsidTr="00D15E5E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9D3E203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147D3750" w14:textId="6C75448E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22BFAA31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Falsificação de identidade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DF0E122" w14:textId="0DB60C12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Um tipo de ataque em que uma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entidade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se faz passar por outra para obter ganhos ilegítimos.</w:t>
            </w:r>
          </w:p>
        </w:tc>
      </w:tr>
      <w:tr w:rsidR="000A44EE" w:rsidRPr="00501ED3" w14:paraId="3B2765F1" w14:textId="77777777" w:rsidTr="00D15E5E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D43F5F6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14FC1A5" w14:textId="0092729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4BC4BBB8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pt-PT"/>
              </w:rPr>
              <w:t>Phishing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5562677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Fazer-se passar por outra instituição com o objetivo de convencer o utilizador a revelar credenciais privadas.</w:t>
            </w:r>
          </w:p>
        </w:tc>
      </w:tr>
      <w:tr w:rsidR="000A44EE" w:rsidRPr="00501ED3" w14:paraId="4B6B4233" w14:textId="77777777" w:rsidTr="00D15E5E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3A1E1962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717EAD1C" w14:textId="033F9AB1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Vulnerabilidade </w:t>
            </w:r>
          </w:p>
        </w:tc>
        <w:tc>
          <w:tcPr>
            <w:tcW w:w="3085" w:type="dxa"/>
          </w:tcPr>
          <w:p w14:paraId="23C3EDDB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Criptografia fraca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E88A694" w14:textId="695DCC31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Serviços acessíveis ao público que podem ter uma criptografia fraca. </w:t>
            </w:r>
          </w:p>
        </w:tc>
      </w:tr>
      <w:tr w:rsidR="000A44EE" w:rsidRPr="00501ED3" w14:paraId="36926A6A" w14:textId="77777777" w:rsidTr="00A479C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09C961EE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6CD76E79" w14:textId="2FC092B8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FB610E5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Amplificador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DDoS</w:t>
            </w:r>
            <w:proofErr w:type="spellEnd"/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6B2DB43" w14:textId="10ED8F29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Serviços acessíveis ao público que podem ser utilizados para a reflexão ou amplificação de ataques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DDoS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. </w:t>
            </w:r>
          </w:p>
        </w:tc>
      </w:tr>
      <w:tr w:rsidR="000A44EE" w:rsidRPr="00501ED3" w14:paraId="5F796B14" w14:textId="77777777" w:rsidTr="00A479C9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67025B8F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2A092C84" w14:textId="0DBEAD13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CFD8CC9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Divulgação de informações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660EC3C6" w14:textId="1E7B291B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Acesso público a serviços em que podem ser divulgadas informações potencialmente sensíveis. </w:t>
            </w:r>
          </w:p>
        </w:tc>
      </w:tr>
      <w:tr w:rsidR="000A44EE" w:rsidRPr="00501ED3" w14:paraId="4BDCFE02" w14:textId="77777777" w:rsidTr="00C423CF">
        <w:tc>
          <w:tcPr>
            <w:tcW w:w="1979" w:type="dxa"/>
            <w:vMerge w:val="restart"/>
            <w:tcBorders>
              <w:left w:val="single" w:sz="24" w:space="0" w:color="auto"/>
            </w:tcBorders>
          </w:tcPr>
          <w:p w14:paraId="15E5935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500DCA89" w14:textId="607F7CDA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3C1FD5AB" w14:textId="78A3B310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Serviços com potencial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de 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acesso não desejado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2C54CA2D" w14:textId="65204125" w:rsidR="000A44EE" w:rsidRPr="00652748" w:rsidRDefault="000A44EE" w:rsidP="000A44EE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uncionalidades em sistemas, redes ou dispositivos que podem ser exploradas para permitir acesso não autorizad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o.</w:t>
            </w:r>
          </w:p>
        </w:tc>
      </w:tr>
      <w:tr w:rsidR="000A44EE" w:rsidRPr="00501ED3" w14:paraId="2870C7B5" w14:textId="77777777" w:rsidTr="00C423CF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4064E48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</w:tcPr>
          <w:p w14:paraId="78096E83" w14:textId="2352F3E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</w:tcPr>
          <w:p w14:paraId="1CE184FD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Sistema vulnerável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12B798E2" w14:textId="325CF76A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alhas de segurança ou fraquezas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, resultantes de 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erros de programação, configurações inadequadas, falta de 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tualizações de segurança, ou</w:t>
            </w:r>
            <w:r w:rsidRPr="00133177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pt-PT"/>
              </w:rPr>
              <w:t xml:space="preserve"> design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inadequado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que podem ser exploradas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para comprometer sistemas organizacionais. 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3C4E644D" w14:textId="77777777" w:rsidTr="00C423CF">
        <w:tc>
          <w:tcPr>
            <w:tcW w:w="1979" w:type="dxa"/>
            <w:vMerge/>
            <w:tcBorders>
              <w:left w:val="single" w:sz="24" w:space="0" w:color="auto"/>
            </w:tcBorders>
          </w:tcPr>
          <w:p w14:paraId="29346A7C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 w:val="restart"/>
          </w:tcPr>
          <w:p w14:paraId="09AA27AD" w14:textId="79A0CF0F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Outros</w:t>
            </w:r>
          </w:p>
        </w:tc>
        <w:tc>
          <w:tcPr>
            <w:tcW w:w="3085" w:type="dxa"/>
          </w:tcPr>
          <w:p w14:paraId="582EC159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APT (</w:t>
            </w: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Advanced Persistent Threat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</w:t>
            </w:r>
          </w:p>
          <w:p w14:paraId="19C661AE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6A9E1A8A" w14:textId="77777777" w:rsidR="000A44EE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  <w:p w14:paraId="5FC0BECF" w14:textId="37906672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0064F66D" w14:textId="3B4281C0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BE5B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F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orma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ataque cibernético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caracterizada por sua sofisticação, persistência e foco específico em alvos </w:t>
            </w:r>
            <w:proofErr w:type="spellStart"/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sele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</w:t>
            </w:r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cionados</w:t>
            </w:r>
            <w:proofErr w:type="spellEnd"/>
            <w:r w:rsidRPr="00F323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como organizações ou entidades governamentais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. 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Esta ameaça emprega normalmente técnicas de engenharia social para atingir os seus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objectivos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juntamente com a utilização de procedimentos de ataque conhecidos ou genuínos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</w:tc>
      </w:tr>
      <w:tr w:rsidR="000A44EE" w:rsidRPr="00501ED3" w14:paraId="5B3F6490" w14:textId="77777777" w:rsidTr="003D0813">
        <w:trPr>
          <w:trHeight w:val="329"/>
        </w:trPr>
        <w:tc>
          <w:tcPr>
            <w:tcW w:w="197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4B86A7" w14:textId="77777777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2869" w:type="dxa"/>
            <w:vMerge/>
            <w:tcBorders>
              <w:bottom w:val="single" w:sz="24" w:space="0" w:color="auto"/>
            </w:tcBorders>
          </w:tcPr>
          <w:p w14:paraId="266ABA5D" w14:textId="5AE5F096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</w:p>
        </w:tc>
        <w:tc>
          <w:tcPr>
            <w:tcW w:w="3085" w:type="dxa"/>
            <w:tcBorders>
              <w:bottom w:val="single" w:sz="24" w:space="0" w:color="auto"/>
            </w:tcBorders>
          </w:tcPr>
          <w:p w14:paraId="677C4239" w14:textId="21701E75" w:rsidR="000A44EE" w:rsidRPr="00652748" w:rsidRDefault="000A44EE" w:rsidP="000A44EE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Outros</w:t>
            </w:r>
          </w:p>
        </w:tc>
        <w:tc>
          <w:tcPr>
            <w:tcW w:w="5812" w:type="dxa"/>
            <w:tcBorders>
              <w:bottom w:val="single" w:sz="24" w:space="0" w:color="auto"/>
              <w:right w:val="single" w:sz="24" w:space="0" w:color="auto"/>
            </w:tcBorders>
          </w:tcPr>
          <w:p w14:paraId="250566A4" w14:textId="1C0DADE2" w:rsidR="000A44EE" w:rsidRPr="00652748" w:rsidRDefault="000A44EE" w:rsidP="00F7088F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Qualquer incidente que não se enquadra em nenhuma das categorias anteriores.</w:t>
            </w:r>
          </w:p>
        </w:tc>
      </w:tr>
    </w:tbl>
    <w:p w14:paraId="22BB4A3C" w14:textId="77777777" w:rsidR="00652748" w:rsidRPr="00652748" w:rsidRDefault="00652748" w:rsidP="00652748">
      <w:pPr>
        <w:keepNext/>
        <w:spacing w:before="480" w:after="200" w:line="360" w:lineRule="auto"/>
        <w:ind w:left="0" w:hanging="431"/>
        <w:jc w:val="center"/>
        <w:outlineLvl w:val="1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8"/>
          <w:lang w:val="pt-PT"/>
        </w:rPr>
      </w:pPr>
    </w:p>
    <w:p w14:paraId="11D4A79C" w14:textId="77777777" w:rsidR="00A86564" w:rsidRDefault="00A86564" w:rsidP="00652748">
      <w:pPr>
        <w:spacing w:after="160" w:line="259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4"/>
          <w:lang w:val="pt-PT"/>
        </w:rPr>
        <w:sectPr w:rsidR="00A86564" w:rsidSect="00A86564">
          <w:pgSz w:w="16838" w:h="11906" w:orient="landscape"/>
          <w:pgMar w:top="1440" w:right="1902" w:bottom="1440" w:left="1440" w:header="708" w:footer="708" w:gutter="0"/>
          <w:cols w:space="708"/>
          <w:docGrid w:linePitch="360"/>
        </w:sectPr>
      </w:pPr>
    </w:p>
    <w:p w14:paraId="061BAEDA" w14:textId="654D2533" w:rsidR="00652748" w:rsidRPr="00652748" w:rsidRDefault="00652748" w:rsidP="00652748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pt-PT"/>
        </w:rPr>
      </w:pPr>
    </w:p>
    <w:p w14:paraId="6F0F8682" w14:textId="77777777" w:rsidR="00652748" w:rsidRPr="00652748" w:rsidRDefault="00652748" w:rsidP="00652748">
      <w:pPr>
        <w:spacing w:before="240" w:after="24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smallCaps/>
          <w:color w:val="auto"/>
          <w:kern w:val="36"/>
          <w:sz w:val="24"/>
          <w:szCs w:val="24"/>
          <w:lang w:val="pt-PT"/>
        </w:rPr>
      </w:pPr>
      <w:proofErr w:type="gramStart"/>
      <w:r w:rsidRPr="00652748"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t>ANEXO  3</w:t>
      </w:r>
      <w:proofErr w:type="gramEnd"/>
    </w:p>
    <w:p w14:paraId="41A81499" w14:textId="6C749029" w:rsidR="00652748" w:rsidRPr="00652748" w:rsidRDefault="00467913" w:rsidP="00652748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CLASSIFICAÇÃO DE INCIDENTES QUANTO AOS </w:t>
      </w: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NÍVEIS DE GRAVIDADE</w:t>
      </w:r>
    </w:p>
    <w:tbl>
      <w:tblPr>
        <w:tblStyle w:val="TableGrid0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652748" w:rsidRPr="00652748" w14:paraId="25E54C46" w14:textId="77777777" w:rsidTr="00467913">
        <w:tc>
          <w:tcPr>
            <w:tcW w:w="1418" w:type="dxa"/>
            <w:shd w:val="clear" w:color="auto" w:fill="8EAADB" w:themeFill="accent1" w:themeFillTint="99"/>
          </w:tcPr>
          <w:p w14:paraId="682B16A8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Nível</w:t>
            </w:r>
          </w:p>
        </w:tc>
        <w:tc>
          <w:tcPr>
            <w:tcW w:w="8930" w:type="dxa"/>
            <w:shd w:val="clear" w:color="auto" w:fill="8EAADB" w:themeFill="accent1" w:themeFillTint="99"/>
          </w:tcPr>
          <w:p w14:paraId="58112C82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Descrição</w:t>
            </w:r>
          </w:p>
        </w:tc>
      </w:tr>
      <w:tr w:rsidR="00652748" w:rsidRPr="00501ED3" w14:paraId="15BAB92C" w14:textId="77777777" w:rsidTr="00467913">
        <w:tc>
          <w:tcPr>
            <w:tcW w:w="1418" w:type="dxa"/>
          </w:tcPr>
          <w:p w14:paraId="68ABD31F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Crítico</w:t>
            </w:r>
          </w:p>
        </w:tc>
        <w:tc>
          <w:tcPr>
            <w:tcW w:w="8930" w:type="dxa"/>
          </w:tcPr>
          <w:p w14:paraId="22CF4739" w14:textId="1EEC5F69" w:rsidR="00652748" w:rsidRP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Danos extensos e prolongados aos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objectivos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protecção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(disponibilidade, integridade, confidencialidade) dos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 presentes ou previstos.</w:t>
            </w:r>
          </w:p>
          <w:p w14:paraId="04EC0BF6" w14:textId="5B99064B" w:rsid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Disponibilidade: 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 não estão disponíveis </w:t>
            </w:r>
            <w:r w:rsidR="00F847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à</w:t>
            </w:r>
            <w:r w:rsidR="00F847B6"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médio ou longo prazo (falha </w:t>
            </w:r>
            <w:r w:rsidR="00BB4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=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&gt; 200 % do RTO</w:t>
            </w:r>
            <w:r w:rsidRPr="00133177">
              <w:rPr>
                <w:rFonts w:eastAsia="Times New Roman" w:cs="Times New Roman"/>
                <w:color w:val="auto"/>
                <w:sz w:val="22"/>
                <w:vertAlign w:val="superscript"/>
                <w:lang w:val="pt-PT"/>
              </w:rPr>
              <w:footnoteReference w:id="1"/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).</w:t>
            </w:r>
          </w:p>
          <w:p w14:paraId="63022299" w14:textId="37BAC478" w:rsidR="001E0483" w:rsidRDefault="001E0483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Disponibilidade de sistemas:</w:t>
            </w:r>
            <w:r w:rsidRPr="003D0813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  <w:lang w:val="pt-PT"/>
              </w:rPr>
              <w:t xml:space="preserve">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cujo impacto result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na indisponibilidade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total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de aplicações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principais e periféricas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ao serviço dos clientes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70F6F5DD" w14:textId="0B462CC3" w:rsidR="00930EF6" w:rsidRPr="004A474C" w:rsidRDefault="002E53C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Abrangência</w:t>
            </w:r>
            <w:r w:rsid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: repercutido a nível da rede nacional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2B2DC3BB" w14:textId="7E4ADDAB" w:rsidR="00652748" w:rsidRP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  <w:lang w:val="pt-PT"/>
              </w:rPr>
            </w:pPr>
            <w:r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 resolução</w:t>
            </w:r>
            <w:r w:rsidR="00486562"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/mitigação</w:t>
            </w:r>
            <w:r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</w:t>
            </w:r>
            <w:r w:rsidR="00486562"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incidente</w:t>
            </w:r>
            <w:r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implica a </w:t>
            </w:r>
            <w:proofErr w:type="spellStart"/>
            <w:r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activação</w:t>
            </w:r>
            <w:proofErr w:type="spellEnd"/>
            <w:r w:rsidRP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Plano de Continuidade de Negócio (PCN).</w:t>
            </w:r>
          </w:p>
        </w:tc>
      </w:tr>
      <w:tr w:rsidR="00652748" w:rsidRPr="00501ED3" w14:paraId="1F08A666" w14:textId="77777777" w:rsidTr="00467913">
        <w:tc>
          <w:tcPr>
            <w:tcW w:w="1418" w:type="dxa"/>
          </w:tcPr>
          <w:p w14:paraId="375E9777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Alto</w:t>
            </w:r>
          </w:p>
        </w:tc>
        <w:tc>
          <w:tcPr>
            <w:tcW w:w="8930" w:type="dxa"/>
          </w:tcPr>
          <w:p w14:paraId="42E578D6" w14:textId="283E3132" w:rsid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Disponibilidade: 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 não estão disponíveis a médio prazo (</w:t>
            </w:r>
            <w:r w:rsidR="00BB40CB" w:rsidRPr="009C3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100% do RTO =&lt; falha &lt; 200% do RTO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). </w:t>
            </w:r>
          </w:p>
          <w:p w14:paraId="280B62D0" w14:textId="7D188D64" w:rsidR="00930EF6" w:rsidRDefault="002E53C8" w:rsidP="00930EF6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Abrangência</w:t>
            </w:r>
            <w:r w:rsidR="00930EF6" w:rsidRP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afectou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="00930EF6" w:rsidRP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rede </w:t>
            </w:r>
            <w:r w:rsidR="00930EF6" w:rsidRP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regional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/sede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122ABBF9" w14:textId="028A5FBF" w:rsidR="0055763C" w:rsidRDefault="0055763C" w:rsidP="00930EF6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 de sistemas: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provocam indisponibilidade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parcial de algumas aplicações principais e periféricas 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perturba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ndo</w:t>
            </w: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a qualidade de entrega de serviços/aplicações ao cliente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785983F4" w14:textId="094D976B" w:rsidR="00652748" w:rsidRPr="0055530E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Confidencialidade/integridade: informações sensíveis e/ou críticas para o negócio </w:t>
            </w:r>
            <w:r w:rsidR="00C164E8"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comprometidas </w:t>
            </w:r>
            <w:r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em grande medida. </w:t>
            </w:r>
          </w:p>
          <w:p w14:paraId="26CCEF64" w14:textId="57DE19C2" w:rsidR="00652748" w:rsidRP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 resolução</w:t>
            </w:r>
            <w:r w:rsidR="00486562"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/mitigação</w:t>
            </w:r>
            <w:r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do </w:t>
            </w:r>
            <w:r w:rsidR="00486562"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incidente</w:t>
            </w:r>
            <w:r w:rsidRPr="005553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requer a aplicação de recursos externos.</w:t>
            </w:r>
          </w:p>
        </w:tc>
      </w:tr>
      <w:tr w:rsidR="00652748" w:rsidRPr="00501ED3" w14:paraId="1A75B7BC" w14:textId="77777777" w:rsidTr="00467913">
        <w:tc>
          <w:tcPr>
            <w:tcW w:w="1418" w:type="dxa"/>
          </w:tcPr>
          <w:p w14:paraId="29E44D14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Médio</w:t>
            </w:r>
          </w:p>
        </w:tc>
        <w:tc>
          <w:tcPr>
            <w:tcW w:w="8930" w:type="dxa"/>
          </w:tcPr>
          <w:p w14:paraId="366DD0AF" w14:textId="54FB66ED" w:rsid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Disponibilidade: 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 não estão disponíveis a curto prazo (</w:t>
            </w:r>
            <w:r w:rsidR="00BB40CB" w:rsidRPr="009C3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50% do RTO =&lt; falha &lt; 100% do RTO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).</w:t>
            </w:r>
          </w:p>
          <w:p w14:paraId="77CE9E91" w14:textId="5CB68FD5" w:rsidR="00930EF6" w:rsidRPr="00930EF6" w:rsidRDefault="002E53C8" w:rsidP="00930EF6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Abrangência</w:t>
            </w:r>
            <w:r w:rsidR="00930EF6" w:rsidRP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: repercutido</w:t>
            </w:r>
            <w:r w:rsidR="00930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a nível local (balcões)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0F3DA93D" w14:textId="5D68276F" w:rsidR="0055763C" w:rsidRDefault="0055763C" w:rsidP="0055763C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747C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 de sistemas: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causa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interrupção ou perturbação de sistemas para efeitos de manutenção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dos sistemas</w:t>
            </w:r>
            <w:r w:rsidR="004A38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2DEB89F0" w14:textId="6FCA8B14" w:rsid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Confidencialidade/integridade: informações sensíveis substancialmente </w:t>
            </w:r>
            <w:proofErr w:type="spellStart"/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afectadas</w:t>
            </w:r>
            <w:proofErr w:type="spellEnd"/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</w:p>
          <w:p w14:paraId="40179727" w14:textId="77777777" w:rsidR="00652748" w:rsidRPr="0055763C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Implicações financeiras </w:t>
            </w:r>
            <w:proofErr w:type="spellStart"/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perceptíveis</w:t>
            </w:r>
            <w:proofErr w:type="spellEnd"/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ou danos na reputação da instituição.</w:t>
            </w:r>
          </w:p>
          <w:p w14:paraId="640E7A46" w14:textId="028598B6" w:rsidR="00652748" w:rsidRPr="00652748" w:rsidRDefault="00486562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lastRenderedPageBreak/>
              <w:t>O incidente pode</w:t>
            </w:r>
            <w:r w:rsidR="00652748"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se</w:t>
            </w:r>
            <w:r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r</w:t>
            </w:r>
            <w:r w:rsidR="00652748" w:rsidRPr="0055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resolvido com os recursos internos disponíveis.</w:t>
            </w:r>
          </w:p>
        </w:tc>
      </w:tr>
      <w:tr w:rsidR="00652748" w:rsidRPr="00501ED3" w14:paraId="125694CD" w14:textId="77777777" w:rsidTr="00467913">
        <w:tc>
          <w:tcPr>
            <w:tcW w:w="1418" w:type="dxa"/>
          </w:tcPr>
          <w:p w14:paraId="311654C8" w14:textId="77777777" w:rsidR="00652748" w:rsidRPr="00652748" w:rsidRDefault="00652748" w:rsidP="00652748">
            <w:pPr>
              <w:spacing w:after="16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lastRenderedPageBreak/>
              <w:t>Baixo</w:t>
            </w:r>
          </w:p>
        </w:tc>
        <w:tc>
          <w:tcPr>
            <w:tcW w:w="8930" w:type="dxa"/>
          </w:tcPr>
          <w:p w14:paraId="40BF39F3" w14:textId="77777777" w:rsidR="00652748" w:rsidRP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Sem prejuízo aos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objectivos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de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protecção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(disponibilidade, integridade, confidencialidade) dos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críticos.</w:t>
            </w:r>
          </w:p>
          <w:p w14:paraId="1F25B642" w14:textId="5BE3CE92" w:rsidR="00930EF6" w:rsidRDefault="00930EF6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Disponibilidade:</w:t>
            </w:r>
            <w:r w:rsidR="000A61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proofErr w:type="spellStart"/>
            <w:r w:rsidR="000A61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activos</w:t>
            </w:r>
            <w:proofErr w:type="spellEnd"/>
            <w:r w:rsidR="000A61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críticos sofrem pequenas oscilações (</w:t>
            </w:r>
            <w:r w:rsidR="000A6111" w:rsidRPr="009C3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falha &lt; </w:t>
            </w:r>
            <w:r w:rsidR="000A61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50</w:t>
            </w:r>
            <w:r w:rsidR="000A6111" w:rsidRPr="009C37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% do RTO</w:t>
            </w:r>
            <w:r w:rsidR="000A61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)</w:t>
            </w:r>
          </w:p>
          <w:p w14:paraId="0EC0BD06" w14:textId="5CFC104B" w:rsidR="00930EF6" w:rsidRPr="0051484A" w:rsidRDefault="00D0723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Abrangência</w:t>
            </w:r>
            <w:r w:rsidR="00930EF6" w:rsidRPr="00514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: </w:t>
            </w:r>
            <w:proofErr w:type="spellStart"/>
            <w:r w:rsidR="00E744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afectou</w:t>
            </w:r>
            <w:proofErr w:type="spellEnd"/>
            <w:r w:rsidR="00E744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="0051484A"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apenas algumas funcionalidades </w:t>
            </w:r>
            <w:r w:rsidR="0051484A" w:rsidRPr="00514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e </w:t>
            </w:r>
            <w:r w:rsidR="000524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não causou </w:t>
            </w:r>
            <w:r w:rsidR="0051484A" w:rsidRPr="00514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interrupção.</w:t>
            </w:r>
          </w:p>
          <w:p w14:paraId="250FED0C" w14:textId="5AA7B586" w:rsidR="0055763C" w:rsidRDefault="0055763C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3D0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Disponibilidade de sistemas: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provoca pequenas oscilações dos sistemas sem impacto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na disponibilidade de </w:t>
            </w:r>
            <w:r w:rsidR="003402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serviços/aplicações para os clientes</w:t>
            </w:r>
            <w:r w:rsidR="00EB3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</w:p>
          <w:p w14:paraId="031EE916" w14:textId="573ECC05" w:rsidR="00652748" w:rsidRDefault="00652748" w:rsidP="00652748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Não há redução da capacidade da instituição para cumprir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efectivamente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as suas obrigações.</w:t>
            </w:r>
          </w:p>
          <w:p w14:paraId="6B96C6D4" w14:textId="5A40357D" w:rsidR="00600FD3" w:rsidRPr="00652748" w:rsidRDefault="00652748" w:rsidP="003D0813">
            <w:pPr>
              <w:spacing w:after="0" w:line="36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Não há danos, ou </w:t>
            </w:r>
            <w:r w:rsidR="006B1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há danos</w:t>
            </w:r>
            <w:r w:rsidR="006B1F67"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mínimos, ao património da instituição, seja</w:t>
            </w:r>
            <w:r w:rsidR="006B1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m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ele</w:t>
            </w:r>
            <w:r w:rsidR="006B1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 xml:space="preserve"> financeiro</w:t>
            </w:r>
            <w:r w:rsidR="006B1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s</w:t>
            </w: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  <w:t>, de informação, de imagem ou de qualquer outra natureza.</w:t>
            </w:r>
          </w:p>
        </w:tc>
      </w:tr>
    </w:tbl>
    <w:p w14:paraId="29568C1B" w14:textId="77777777" w:rsidR="00652748" w:rsidRPr="00652748" w:rsidRDefault="00652748" w:rsidP="00652748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7849B342" w14:textId="77777777" w:rsidR="00652748" w:rsidRPr="00652748" w:rsidRDefault="00652748" w:rsidP="00652748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4A224BE7" w14:textId="77777777" w:rsidR="00652748" w:rsidRPr="00652748" w:rsidRDefault="00652748" w:rsidP="00652748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3D4B58"/>
          <w:sz w:val="24"/>
          <w:szCs w:val="24"/>
          <w:lang w:val="pt-PT"/>
        </w:rPr>
      </w:pPr>
    </w:p>
    <w:p w14:paraId="4A9BEED3" w14:textId="77777777" w:rsidR="004A381C" w:rsidRDefault="004A381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</w:pPr>
      <w:bookmarkStart w:id="4" w:name="_Toc48118371"/>
      <w:bookmarkStart w:id="5" w:name="_Toc101149725"/>
      <w:r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br w:type="page"/>
      </w:r>
    </w:p>
    <w:p w14:paraId="20C6CA51" w14:textId="6DB818CA" w:rsidR="00652748" w:rsidRPr="00652748" w:rsidRDefault="00652748" w:rsidP="00652748">
      <w:pPr>
        <w:spacing w:before="240" w:after="24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bCs/>
          <w:smallCaps/>
          <w:color w:val="auto"/>
          <w:kern w:val="36"/>
          <w:sz w:val="24"/>
          <w:szCs w:val="24"/>
          <w:lang w:val="pt-PT"/>
        </w:rPr>
        <w:lastRenderedPageBreak/>
        <w:t>ANEXO 4</w:t>
      </w:r>
    </w:p>
    <w:p w14:paraId="054C4066" w14:textId="77777777" w:rsidR="00652748" w:rsidRPr="00652748" w:rsidRDefault="00652748" w:rsidP="00652748">
      <w:pPr>
        <w:spacing w:after="160" w:line="259" w:lineRule="auto"/>
        <w:ind w:left="0" w:firstLine="0"/>
        <w:jc w:val="center"/>
        <w:rPr>
          <w:rFonts w:asciiTheme="minorHAnsi" w:eastAsia="Times New Roman" w:hAnsiTheme="minorHAnsi" w:cs="Times New Roman"/>
          <w:color w:val="auto"/>
          <w:sz w:val="22"/>
          <w:szCs w:val="24"/>
          <w:lang w:val="pt-PT"/>
        </w:rPr>
      </w:pPr>
      <w:r w:rsidRPr="0065274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Lista de Acrónimos</w:t>
      </w:r>
      <w:bookmarkEnd w:id="4"/>
      <w:bookmarkEnd w:id="5"/>
    </w:p>
    <w:p w14:paraId="594F3AA8" w14:textId="77777777" w:rsidR="00652748" w:rsidRPr="00652748" w:rsidRDefault="00652748" w:rsidP="00652748">
      <w:pPr>
        <w:spacing w:after="16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tbl>
      <w:tblPr>
        <w:tblStyle w:val="TableGrid0"/>
        <w:tblW w:w="82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6960"/>
      </w:tblGrid>
      <w:tr w:rsidR="00652748" w:rsidRPr="00652748" w14:paraId="6DA7D52F" w14:textId="77777777" w:rsidTr="003D0813">
        <w:tc>
          <w:tcPr>
            <w:tcW w:w="1324" w:type="dxa"/>
          </w:tcPr>
          <w:p w14:paraId="4F8A2250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APT</w:t>
            </w:r>
          </w:p>
        </w:tc>
        <w:tc>
          <w:tcPr>
            <w:tcW w:w="6960" w:type="dxa"/>
          </w:tcPr>
          <w:p w14:paraId="01532465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 xml:space="preserve"> Advanced Persistent Threat</w:t>
            </w:r>
          </w:p>
        </w:tc>
      </w:tr>
      <w:tr w:rsidR="00652748" w:rsidRPr="00652748" w14:paraId="151A59C1" w14:textId="77777777" w:rsidTr="003D0813">
        <w:tc>
          <w:tcPr>
            <w:tcW w:w="1324" w:type="dxa"/>
          </w:tcPr>
          <w:p w14:paraId="5AAA6981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DDoS</w:t>
            </w:r>
          </w:p>
        </w:tc>
        <w:tc>
          <w:tcPr>
            <w:tcW w:w="6960" w:type="dxa"/>
          </w:tcPr>
          <w:p w14:paraId="569E61CA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GB"/>
              </w:rPr>
              <w:t>Distributed Denial of Service</w:t>
            </w:r>
          </w:p>
        </w:tc>
      </w:tr>
      <w:tr w:rsidR="00652748" w:rsidRPr="00652748" w14:paraId="1E4494B8" w14:textId="77777777" w:rsidTr="003D0813">
        <w:tc>
          <w:tcPr>
            <w:tcW w:w="1324" w:type="dxa"/>
          </w:tcPr>
          <w:p w14:paraId="16D8C50F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DoS</w:t>
            </w:r>
          </w:p>
        </w:tc>
        <w:tc>
          <w:tcPr>
            <w:tcW w:w="6960" w:type="dxa"/>
          </w:tcPr>
          <w:p w14:paraId="150C91DD" w14:textId="77777777" w:rsidR="00652748" w:rsidRPr="00652748" w:rsidRDefault="00652748" w:rsidP="00652748">
            <w:pPr>
              <w:spacing w:before="120" w:after="12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Denial of Service</w:t>
            </w:r>
          </w:p>
        </w:tc>
      </w:tr>
      <w:tr w:rsidR="00383A94" w:rsidRPr="00652748" w14:paraId="48AFA9D9" w14:textId="77777777" w:rsidTr="003D0813">
        <w:tc>
          <w:tcPr>
            <w:tcW w:w="1324" w:type="dxa"/>
          </w:tcPr>
          <w:p w14:paraId="17F3BD78" w14:textId="5A7756F8" w:rsidR="00383A94" w:rsidRPr="00652748" w:rsidRDefault="00383A94" w:rsidP="00652748">
            <w:pPr>
              <w:spacing w:before="120" w:after="12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IDS</w:t>
            </w:r>
          </w:p>
        </w:tc>
        <w:tc>
          <w:tcPr>
            <w:tcW w:w="6960" w:type="dxa"/>
          </w:tcPr>
          <w:p w14:paraId="7CB862B5" w14:textId="50F58812" w:rsidR="00383A94" w:rsidRPr="00652748" w:rsidRDefault="00383A94" w:rsidP="00652748">
            <w:pPr>
              <w:spacing w:before="120" w:after="12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Intrusion Detection System</w:t>
            </w:r>
          </w:p>
        </w:tc>
      </w:tr>
      <w:tr w:rsidR="00383A94" w:rsidRPr="00652748" w14:paraId="4A6595FD" w14:textId="77777777" w:rsidTr="003D0813">
        <w:tc>
          <w:tcPr>
            <w:tcW w:w="1324" w:type="dxa"/>
          </w:tcPr>
          <w:p w14:paraId="478FB5E4" w14:textId="02E5AD59" w:rsidR="00383A94" w:rsidRPr="00652748" w:rsidRDefault="00383A94" w:rsidP="00652748">
            <w:pPr>
              <w:spacing w:before="120" w:after="12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IPS</w:t>
            </w:r>
          </w:p>
        </w:tc>
        <w:tc>
          <w:tcPr>
            <w:tcW w:w="6960" w:type="dxa"/>
          </w:tcPr>
          <w:p w14:paraId="6F41CD15" w14:textId="4ED4D2CE" w:rsidR="00383A94" w:rsidRPr="00652748" w:rsidRDefault="00383A94" w:rsidP="00652748">
            <w:pPr>
              <w:spacing w:before="120" w:after="12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Intrusion Prevention System</w:t>
            </w:r>
          </w:p>
        </w:tc>
      </w:tr>
      <w:tr w:rsidR="00652748" w:rsidRPr="00652748" w14:paraId="54C59A2C" w14:textId="77777777" w:rsidTr="003D0813">
        <w:tc>
          <w:tcPr>
            <w:tcW w:w="1324" w:type="dxa"/>
          </w:tcPr>
          <w:p w14:paraId="78239F36" w14:textId="77777777" w:rsidR="00652748" w:rsidRPr="00652748" w:rsidRDefault="00652748" w:rsidP="00652748">
            <w:pPr>
              <w:spacing w:after="16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RTO</w:t>
            </w:r>
          </w:p>
        </w:tc>
        <w:tc>
          <w:tcPr>
            <w:tcW w:w="6960" w:type="dxa"/>
          </w:tcPr>
          <w:p w14:paraId="099FDBF2" w14:textId="77777777" w:rsidR="00652748" w:rsidRPr="00652748" w:rsidRDefault="00652748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Recovery Time Objectives</w:t>
            </w:r>
          </w:p>
        </w:tc>
      </w:tr>
      <w:tr w:rsidR="00652748" w:rsidRPr="00652748" w14:paraId="68C42D72" w14:textId="77777777" w:rsidTr="003D0813">
        <w:tc>
          <w:tcPr>
            <w:tcW w:w="1324" w:type="dxa"/>
          </w:tcPr>
          <w:p w14:paraId="60C77A4F" w14:textId="77777777" w:rsidR="00652748" w:rsidRPr="00652748" w:rsidRDefault="00652748" w:rsidP="00652748">
            <w:pPr>
              <w:spacing w:after="16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SPAM</w:t>
            </w:r>
          </w:p>
        </w:tc>
        <w:tc>
          <w:tcPr>
            <w:tcW w:w="6960" w:type="dxa"/>
          </w:tcPr>
          <w:p w14:paraId="5FAC1C3D" w14:textId="77777777" w:rsidR="00652748" w:rsidRPr="00652748" w:rsidRDefault="00652748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Sending and Posting Advertisement in Mass</w:t>
            </w:r>
          </w:p>
        </w:tc>
      </w:tr>
      <w:tr w:rsidR="00652748" w:rsidRPr="00652748" w14:paraId="588876ED" w14:textId="77777777" w:rsidTr="003D0813">
        <w:tc>
          <w:tcPr>
            <w:tcW w:w="1324" w:type="dxa"/>
          </w:tcPr>
          <w:p w14:paraId="49104DB9" w14:textId="77777777" w:rsidR="00652748" w:rsidRPr="00652748" w:rsidRDefault="00652748" w:rsidP="00652748">
            <w:pPr>
              <w:spacing w:after="160" w:line="36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TI</w:t>
            </w:r>
          </w:p>
        </w:tc>
        <w:tc>
          <w:tcPr>
            <w:tcW w:w="6960" w:type="dxa"/>
          </w:tcPr>
          <w:p w14:paraId="11828DD9" w14:textId="77777777" w:rsidR="00652748" w:rsidRPr="00652748" w:rsidRDefault="00652748" w:rsidP="00652748">
            <w:pPr>
              <w:spacing w:after="16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Tecnologias</w:t>
            </w:r>
            <w:proofErr w:type="spellEnd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6527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Informação</w:t>
            </w:r>
            <w:proofErr w:type="spellEnd"/>
          </w:p>
        </w:tc>
      </w:tr>
    </w:tbl>
    <w:p w14:paraId="50FE175F" w14:textId="77777777" w:rsidR="00652748" w:rsidRPr="00652748" w:rsidRDefault="00652748" w:rsidP="00652748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FE84F30" w14:textId="77777777" w:rsidR="00FC41CD" w:rsidRPr="00EE41F0" w:rsidRDefault="00FC41CD" w:rsidP="003F64C0">
      <w:pPr>
        <w:spacing w:after="0" w:line="360" w:lineRule="auto"/>
        <w:ind w:left="0" w:right="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44020" w14:textId="6C8B8408" w:rsidR="005F5489" w:rsidRPr="00EE41F0" w:rsidRDefault="005F5489" w:rsidP="00FC41CD">
      <w:pPr>
        <w:spacing w:line="276" w:lineRule="auto"/>
        <w:ind w:left="0" w:right="-4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sectPr w:rsidR="005F5489" w:rsidRPr="00EE41F0" w:rsidSect="00A86564">
      <w:pgSz w:w="11906" w:h="16838"/>
      <w:pgMar w:top="19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D320" w14:textId="77777777" w:rsidR="00D86940" w:rsidRDefault="00D86940" w:rsidP="003F64C0">
      <w:pPr>
        <w:spacing w:after="0" w:line="240" w:lineRule="auto"/>
      </w:pPr>
      <w:r>
        <w:separator/>
      </w:r>
    </w:p>
  </w:endnote>
  <w:endnote w:type="continuationSeparator" w:id="0">
    <w:p w14:paraId="071B91C3" w14:textId="77777777" w:rsidR="00D86940" w:rsidRDefault="00D86940" w:rsidP="003F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E0B8" w14:textId="77777777" w:rsidR="00D86940" w:rsidRDefault="00D86940" w:rsidP="003F64C0">
      <w:pPr>
        <w:spacing w:after="0" w:line="240" w:lineRule="auto"/>
      </w:pPr>
      <w:r>
        <w:separator/>
      </w:r>
    </w:p>
  </w:footnote>
  <w:footnote w:type="continuationSeparator" w:id="0">
    <w:p w14:paraId="3BCABB6C" w14:textId="77777777" w:rsidR="00D86940" w:rsidRDefault="00D86940" w:rsidP="003F64C0">
      <w:pPr>
        <w:spacing w:after="0" w:line="240" w:lineRule="auto"/>
      </w:pPr>
      <w:r>
        <w:continuationSeparator/>
      </w:r>
    </w:p>
  </w:footnote>
  <w:footnote w:id="1">
    <w:p w14:paraId="618EB3D9" w14:textId="0480B079" w:rsidR="00652748" w:rsidRDefault="00652748" w:rsidP="006527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10DA">
        <w:rPr>
          <w:rFonts w:ascii="Times New Roman" w:hAnsi="Times New Roman"/>
        </w:rPr>
        <w:t xml:space="preserve">RTO: </w:t>
      </w:r>
      <w:r w:rsidRPr="00FE10DA">
        <w:rPr>
          <w:rFonts w:ascii="Times New Roman" w:hAnsi="Times New Roman"/>
          <w:i/>
        </w:rPr>
        <w:t>R</w:t>
      </w:r>
      <w:r w:rsidRPr="00FE10DA">
        <w:rPr>
          <w:rFonts w:ascii="Times New Roman" w:hAnsi="Times New Roman"/>
          <w:i/>
          <w:color w:val="202124"/>
          <w:shd w:val="clear" w:color="auto" w:fill="FFFFFF"/>
        </w:rPr>
        <w:t>ecovery Time Objective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51F0" w14:textId="357B7937" w:rsidR="007B2C24" w:rsidRDefault="00EE41F0" w:rsidP="007B2C24">
    <w:pPr>
      <w:pStyle w:val="Header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8CBE5F2" wp14:editId="5BBF81DE">
          <wp:simplePos x="0" y="0"/>
          <wp:positionH relativeFrom="column">
            <wp:posOffset>-932180</wp:posOffset>
          </wp:positionH>
          <wp:positionV relativeFrom="paragraph">
            <wp:posOffset>-453390</wp:posOffset>
          </wp:positionV>
          <wp:extent cx="7571740" cy="10702925"/>
          <wp:effectExtent l="0" t="0" r="0" b="0"/>
          <wp:wrapNone/>
          <wp:docPr id="189935423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638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25D5B" wp14:editId="37EB5F9B">
          <wp:simplePos x="0" y="0"/>
          <wp:positionH relativeFrom="column">
            <wp:posOffset>5010150</wp:posOffset>
          </wp:positionH>
          <wp:positionV relativeFrom="paragraph">
            <wp:posOffset>-23629</wp:posOffset>
          </wp:positionV>
          <wp:extent cx="932180" cy="712470"/>
          <wp:effectExtent l="0" t="0" r="0" b="0"/>
          <wp:wrapNone/>
          <wp:docPr id="58749772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A450D" w14:textId="063F3F90" w:rsidR="003F64C0" w:rsidRDefault="003F64C0" w:rsidP="003F64C0">
    <w:pPr>
      <w:pStyle w:val="Header"/>
      <w:jc w:val="right"/>
    </w:pPr>
  </w:p>
  <w:p w14:paraId="0527D10C" w14:textId="3F2525E0" w:rsidR="003F64C0" w:rsidRDefault="003F64C0" w:rsidP="003F64C0">
    <w:pPr>
      <w:pStyle w:val="Header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EF1"/>
    <w:multiLevelType w:val="multilevel"/>
    <w:tmpl w:val="72A6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FD2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179" w:hanging="360"/>
      </w:pPr>
      <w:rPr>
        <w:rFonts w:cs="Times New Roman" w:hint="default"/>
        <w:b w:val="0"/>
      </w:rPr>
    </w:lvl>
    <w:lvl w:ilvl="1" w:tplc="FFFFFFFF">
      <w:start w:val="1"/>
      <w:numFmt w:val="lowerRoman"/>
      <w:lvlText w:val="%2."/>
      <w:lvlJc w:val="right"/>
      <w:pPr>
        <w:ind w:left="1899" w:hanging="360"/>
      </w:pPr>
      <w:rPr>
        <w:rFonts w:cs="Times New Roman" w:hint="default"/>
        <w:b w:val="0"/>
        <w:color w:val="auto"/>
      </w:rPr>
    </w:lvl>
    <w:lvl w:ilvl="2" w:tplc="FFFFFFFF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339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4A55CCD"/>
    <w:multiLevelType w:val="hybridMultilevel"/>
    <w:tmpl w:val="5F00DBB8"/>
    <w:lvl w:ilvl="0" w:tplc="0809001B">
      <w:start w:val="1"/>
      <w:numFmt w:val="lowerRoman"/>
      <w:lvlText w:val="%1."/>
      <w:lvlJc w:val="right"/>
      <w:pPr>
        <w:ind w:left="1500" w:hanging="360"/>
      </w:pPr>
      <w:rPr>
        <w:b w:val="0"/>
      </w:rPr>
    </w:lvl>
    <w:lvl w:ilvl="1" w:tplc="FFFFFFFF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B833F60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1179" w:hanging="360"/>
      </w:pPr>
      <w:rPr>
        <w:rFonts w:cs="Times New Roman" w:hint="default"/>
        <w:b w:val="0"/>
      </w:rPr>
    </w:lvl>
    <w:lvl w:ilvl="1" w:tplc="FD6CC870">
      <w:start w:val="1"/>
      <w:numFmt w:val="lowerRoman"/>
      <w:lvlText w:val="%2."/>
      <w:lvlJc w:val="right"/>
      <w:pPr>
        <w:ind w:left="1899" w:hanging="360"/>
      </w:pPr>
      <w:rPr>
        <w:rFonts w:cs="Times New Roman" w:hint="default"/>
        <w:b w:val="0"/>
        <w:color w:val="auto"/>
      </w:rPr>
    </w:lvl>
    <w:lvl w:ilvl="2" w:tplc="0809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3" w:tplc="5FCECEDC">
      <w:start w:val="1"/>
      <w:numFmt w:val="decimal"/>
      <w:lvlText w:val="%4."/>
      <w:lvlJc w:val="left"/>
      <w:pPr>
        <w:ind w:left="3339" w:hanging="360"/>
      </w:pPr>
      <w:rPr>
        <w:rFonts w:cs="Times New Roman" w:hint="default"/>
      </w:rPr>
    </w:lvl>
    <w:lvl w:ilvl="4" w:tplc="08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BF27957"/>
    <w:multiLevelType w:val="hybridMultilevel"/>
    <w:tmpl w:val="FFFFFFFF"/>
    <w:lvl w:ilvl="0" w:tplc="6376170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30A3D"/>
    <w:multiLevelType w:val="hybridMultilevel"/>
    <w:tmpl w:val="D6F2BC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403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131E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F4E79"/>
    <w:multiLevelType w:val="hybridMultilevel"/>
    <w:tmpl w:val="90823096"/>
    <w:lvl w:ilvl="0" w:tplc="6376170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DF6021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285C0B"/>
    <w:multiLevelType w:val="hybridMultilevel"/>
    <w:tmpl w:val="9274E2B4"/>
    <w:lvl w:ilvl="0" w:tplc="0809000F">
      <w:start w:val="1"/>
      <w:numFmt w:val="decimal"/>
      <w:lvlText w:val="%1."/>
      <w:lvlJc w:val="left"/>
      <w:pPr>
        <w:ind w:left="71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5D0B4A29"/>
    <w:multiLevelType w:val="hybridMultilevel"/>
    <w:tmpl w:val="FFFFFFFF"/>
    <w:lvl w:ilvl="0" w:tplc="76F64CC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C3C06"/>
    <w:multiLevelType w:val="hybridMultilevel"/>
    <w:tmpl w:val="D6F2BCE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2697F"/>
    <w:multiLevelType w:val="hybridMultilevel"/>
    <w:tmpl w:val="FFFFFFFF"/>
    <w:lvl w:ilvl="0" w:tplc="6376170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240F3F"/>
    <w:multiLevelType w:val="hybridMultilevel"/>
    <w:tmpl w:val="86DE73DA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938F9"/>
    <w:multiLevelType w:val="hybridMultilevel"/>
    <w:tmpl w:val="A210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99437">
    <w:abstractNumId w:val="7"/>
  </w:num>
  <w:num w:numId="2" w16cid:durableId="195237020">
    <w:abstractNumId w:val="4"/>
  </w:num>
  <w:num w:numId="3" w16cid:durableId="1642807864">
    <w:abstractNumId w:val="12"/>
  </w:num>
  <w:num w:numId="4" w16cid:durableId="429392790">
    <w:abstractNumId w:val="8"/>
  </w:num>
  <w:num w:numId="5" w16cid:durableId="943148732">
    <w:abstractNumId w:val="3"/>
  </w:num>
  <w:num w:numId="6" w16cid:durableId="1378777696">
    <w:abstractNumId w:val="10"/>
  </w:num>
  <w:num w:numId="7" w16cid:durableId="135607585">
    <w:abstractNumId w:val="6"/>
  </w:num>
  <w:num w:numId="8" w16cid:durableId="1965036069">
    <w:abstractNumId w:val="1"/>
  </w:num>
  <w:num w:numId="9" w16cid:durableId="932397842">
    <w:abstractNumId w:val="14"/>
  </w:num>
  <w:num w:numId="10" w16cid:durableId="416368249">
    <w:abstractNumId w:val="13"/>
  </w:num>
  <w:num w:numId="11" w16cid:durableId="1899511899">
    <w:abstractNumId w:val="2"/>
  </w:num>
  <w:num w:numId="12" w16cid:durableId="1484463701">
    <w:abstractNumId w:val="9"/>
  </w:num>
  <w:num w:numId="13" w16cid:durableId="807863719">
    <w:abstractNumId w:val="5"/>
  </w:num>
  <w:num w:numId="14" w16cid:durableId="2045863240">
    <w:abstractNumId w:val="11"/>
  </w:num>
  <w:num w:numId="15" w16cid:durableId="6889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0"/>
    <w:rsid w:val="000500F8"/>
    <w:rsid w:val="00052462"/>
    <w:rsid w:val="00064FD0"/>
    <w:rsid w:val="000928BF"/>
    <w:rsid w:val="00095008"/>
    <w:rsid w:val="000A2C07"/>
    <w:rsid w:val="000A3919"/>
    <w:rsid w:val="000A44EE"/>
    <w:rsid w:val="000A6111"/>
    <w:rsid w:val="000B03B0"/>
    <w:rsid w:val="000C6EC7"/>
    <w:rsid w:val="000D6986"/>
    <w:rsid w:val="000F5CAD"/>
    <w:rsid w:val="001060EE"/>
    <w:rsid w:val="00116EB4"/>
    <w:rsid w:val="00122998"/>
    <w:rsid w:val="00127F1B"/>
    <w:rsid w:val="00133177"/>
    <w:rsid w:val="00151D38"/>
    <w:rsid w:val="001706DF"/>
    <w:rsid w:val="00176AA3"/>
    <w:rsid w:val="001843E1"/>
    <w:rsid w:val="00194A59"/>
    <w:rsid w:val="001967FD"/>
    <w:rsid w:val="001A0780"/>
    <w:rsid w:val="001A3385"/>
    <w:rsid w:val="001E0483"/>
    <w:rsid w:val="001E7304"/>
    <w:rsid w:val="001F732C"/>
    <w:rsid w:val="002248E1"/>
    <w:rsid w:val="002256EA"/>
    <w:rsid w:val="00241A64"/>
    <w:rsid w:val="002426BB"/>
    <w:rsid w:val="00267A8E"/>
    <w:rsid w:val="00274229"/>
    <w:rsid w:val="00285E13"/>
    <w:rsid w:val="002A0E5F"/>
    <w:rsid w:val="002B323D"/>
    <w:rsid w:val="002B7020"/>
    <w:rsid w:val="002D14ED"/>
    <w:rsid w:val="002E53C8"/>
    <w:rsid w:val="002F5602"/>
    <w:rsid w:val="00300735"/>
    <w:rsid w:val="00300941"/>
    <w:rsid w:val="003402D6"/>
    <w:rsid w:val="00383A94"/>
    <w:rsid w:val="003920BA"/>
    <w:rsid w:val="003A00C1"/>
    <w:rsid w:val="003A02E3"/>
    <w:rsid w:val="003B0ABA"/>
    <w:rsid w:val="003B7E59"/>
    <w:rsid w:val="003C6FF7"/>
    <w:rsid w:val="003D0595"/>
    <w:rsid w:val="003D0813"/>
    <w:rsid w:val="003D1135"/>
    <w:rsid w:val="003F64C0"/>
    <w:rsid w:val="003F6FE9"/>
    <w:rsid w:val="00413DD6"/>
    <w:rsid w:val="0043061E"/>
    <w:rsid w:val="00430F29"/>
    <w:rsid w:val="00434300"/>
    <w:rsid w:val="004551AF"/>
    <w:rsid w:val="00467913"/>
    <w:rsid w:val="00481908"/>
    <w:rsid w:val="00486562"/>
    <w:rsid w:val="0048760F"/>
    <w:rsid w:val="004943E2"/>
    <w:rsid w:val="004A381C"/>
    <w:rsid w:val="004A474C"/>
    <w:rsid w:val="004A5C97"/>
    <w:rsid w:val="004C3FA1"/>
    <w:rsid w:val="004E4431"/>
    <w:rsid w:val="00500B6F"/>
    <w:rsid w:val="00501ED3"/>
    <w:rsid w:val="0051484A"/>
    <w:rsid w:val="00522605"/>
    <w:rsid w:val="00531F42"/>
    <w:rsid w:val="005521C4"/>
    <w:rsid w:val="0055530E"/>
    <w:rsid w:val="0055763C"/>
    <w:rsid w:val="00566426"/>
    <w:rsid w:val="005733E1"/>
    <w:rsid w:val="00580DCD"/>
    <w:rsid w:val="005C0D7C"/>
    <w:rsid w:val="005D6F37"/>
    <w:rsid w:val="005E1C38"/>
    <w:rsid w:val="005E3DA2"/>
    <w:rsid w:val="005F5349"/>
    <w:rsid w:val="005F5489"/>
    <w:rsid w:val="0060059A"/>
    <w:rsid w:val="00600FD3"/>
    <w:rsid w:val="00606156"/>
    <w:rsid w:val="00611319"/>
    <w:rsid w:val="00622044"/>
    <w:rsid w:val="0062440F"/>
    <w:rsid w:val="00631208"/>
    <w:rsid w:val="006448C8"/>
    <w:rsid w:val="00652579"/>
    <w:rsid w:val="00652748"/>
    <w:rsid w:val="0067796A"/>
    <w:rsid w:val="006A5D01"/>
    <w:rsid w:val="006B0FAD"/>
    <w:rsid w:val="006B1F67"/>
    <w:rsid w:val="0071709F"/>
    <w:rsid w:val="007177D3"/>
    <w:rsid w:val="007212D8"/>
    <w:rsid w:val="007313A2"/>
    <w:rsid w:val="007414E9"/>
    <w:rsid w:val="00741E29"/>
    <w:rsid w:val="0074753C"/>
    <w:rsid w:val="007530C6"/>
    <w:rsid w:val="00757C45"/>
    <w:rsid w:val="00775A5D"/>
    <w:rsid w:val="007873F9"/>
    <w:rsid w:val="00790B64"/>
    <w:rsid w:val="007B2C24"/>
    <w:rsid w:val="007C1A37"/>
    <w:rsid w:val="007C654C"/>
    <w:rsid w:val="007D67AA"/>
    <w:rsid w:val="008318FB"/>
    <w:rsid w:val="00860C9A"/>
    <w:rsid w:val="00863B93"/>
    <w:rsid w:val="0087605E"/>
    <w:rsid w:val="008C0B8A"/>
    <w:rsid w:val="008C0CD0"/>
    <w:rsid w:val="008C6D7C"/>
    <w:rsid w:val="0090406C"/>
    <w:rsid w:val="00912946"/>
    <w:rsid w:val="00920EE8"/>
    <w:rsid w:val="00930EF6"/>
    <w:rsid w:val="00951E0C"/>
    <w:rsid w:val="009536C5"/>
    <w:rsid w:val="00954A60"/>
    <w:rsid w:val="009635B5"/>
    <w:rsid w:val="00986443"/>
    <w:rsid w:val="009868BE"/>
    <w:rsid w:val="009C371E"/>
    <w:rsid w:val="00A23A5F"/>
    <w:rsid w:val="00A425B7"/>
    <w:rsid w:val="00A773EE"/>
    <w:rsid w:val="00A86564"/>
    <w:rsid w:val="00A87AB7"/>
    <w:rsid w:val="00AA0EAD"/>
    <w:rsid w:val="00AA2DC4"/>
    <w:rsid w:val="00AA2E6B"/>
    <w:rsid w:val="00AC27BA"/>
    <w:rsid w:val="00AD6712"/>
    <w:rsid w:val="00AE2BFB"/>
    <w:rsid w:val="00AF5EAF"/>
    <w:rsid w:val="00B23A2B"/>
    <w:rsid w:val="00B27D00"/>
    <w:rsid w:val="00B36812"/>
    <w:rsid w:val="00B611D9"/>
    <w:rsid w:val="00B94113"/>
    <w:rsid w:val="00BB40CB"/>
    <w:rsid w:val="00BD777E"/>
    <w:rsid w:val="00BE45EA"/>
    <w:rsid w:val="00BE5BCD"/>
    <w:rsid w:val="00BE74A7"/>
    <w:rsid w:val="00BF156D"/>
    <w:rsid w:val="00BF49E5"/>
    <w:rsid w:val="00C01730"/>
    <w:rsid w:val="00C164E8"/>
    <w:rsid w:val="00C67EAE"/>
    <w:rsid w:val="00C809E5"/>
    <w:rsid w:val="00C861A3"/>
    <w:rsid w:val="00C92BFA"/>
    <w:rsid w:val="00C96FE9"/>
    <w:rsid w:val="00CA2423"/>
    <w:rsid w:val="00CC3C25"/>
    <w:rsid w:val="00CD087C"/>
    <w:rsid w:val="00CD5F44"/>
    <w:rsid w:val="00CF797A"/>
    <w:rsid w:val="00D00257"/>
    <w:rsid w:val="00D01BAE"/>
    <w:rsid w:val="00D07238"/>
    <w:rsid w:val="00D10A2F"/>
    <w:rsid w:val="00D2420D"/>
    <w:rsid w:val="00D50245"/>
    <w:rsid w:val="00D70F5C"/>
    <w:rsid w:val="00D86940"/>
    <w:rsid w:val="00DB01B3"/>
    <w:rsid w:val="00DE138C"/>
    <w:rsid w:val="00DE68EF"/>
    <w:rsid w:val="00E1150C"/>
    <w:rsid w:val="00E15BC6"/>
    <w:rsid w:val="00E2457B"/>
    <w:rsid w:val="00E24D97"/>
    <w:rsid w:val="00E342B1"/>
    <w:rsid w:val="00E42B9E"/>
    <w:rsid w:val="00E473A0"/>
    <w:rsid w:val="00E53EEC"/>
    <w:rsid w:val="00E55284"/>
    <w:rsid w:val="00E74439"/>
    <w:rsid w:val="00E811BD"/>
    <w:rsid w:val="00EA6083"/>
    <w:rsid w:val="00EB3196"/>
    <w:rsid w:val="00EE41F0"/>
    <w:rsid w:val="00F077C6"/>
    <w:rsid w:val="00F16A18"/>
    <w:rsid w:val="00F24747"/>
    <w:rsid w:val="00F3233F"/>
    <w:rsid w:val="00F7072C"/>
    <w:rsid w:val="00F7088F"/>
    <w:rsid w:val="00F76CEA"/>
    <w:rsid w:val="00F81D68"/>
    <w:rsid w:val="00F847B6"/>
    <w:rsid w:val="00FC41CD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A946D"/>
  <w15:chartTrackingRefBased/>
  <w15:docId w15:val="{E1F7AC2C-5403-4544-BC82-0DD6085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C0"/>
    <w:pPr>
      <w:spacing w:after="3" w:line="265" w:lineRule="auto"/>
      <w:ind w:left="3808" w:hanging="10"/>
    </w:pPr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autoRedefine/>
    <w:uiPriority w:val="9"/>
    <w:qFormat/>
    <w:rsid w:val="00652748"/>
    <w:pPr>
      <w:spacing w:before="240" w:after="240"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kern w:val="36"/>
      <w:sz w:val="24"/>
      <w:szCs w:val="24"/>
      <w:lang w:val="pt-PT"/>
    </w:rPr>
  </w:style>
  <w:style w:type="paragraph" w:styleId="Heading2">
    <w:name w:val="heading 2"/>
    <w:aliases w:val="h2,B Sub/Bold,Heading 22"/>
    <w:basedOn w:val="Normal"/>
    <w:next w:val="Normal"/>
    <w:link w:val="Heading2Char"/>
    <w:autoRedefine/>
    <w:uiPriority w:val="9"/>
    <w:qFormat/>
    <w:rsid w:val="00652748"/>
    <w:pPr>
      <w:keepNext/>
      <w:spacing w:before="480" w:after="200" w:line="360" w:lineRule="auto"/>
      <w:ind w:left="0" w:hanging="431"/>
      <w:jc w:val="center"/>
      <w:outlineLvl w:val="1"/>
    </w:pPr>
    <w:rPr>
      <w:rFonts w:ascii="Times New Roman" w:eastAsia="Times New Roman" w:hAnsi="Times New Roman" w:cs="Times New Roman"/>
      <w:b/>
      <w:bCs/>
      <w:color w:val="44546A" w:themeColor="text2"/>
      <w:sz w:val="24"/>
      <w:szCs w:val="28"/>
      <w:lang w:val="pt-PT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2748"/>
    <w:pPr>
      <w:keepNext/>
      <w:spacing w:before="240" w:after="60" w:line="240" w:lineRule="auto"/>
      <w:ind w:left="0" w:firstLine="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64C0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652748"/>
    <w:rPr>
      <w:rFonts w:ascii="Times New Roman" w:eastAsia="Times New Roman" w:hAnsi="Times New Roman" w:cs="Times New Roman"/>
      <w:b/>
      <w:bCs/>
      <w:smallCaps/>
      <w:kern w:val="36"/>
      <w:lang w:val="pt-PT"/>
      <w14:ligatures w14:val="none"/>
    </w:rPr>
  </w:style>
  <w:style w:type="character" w:customStyle="1" w:styleId="Heading2Char">
    <w:name w:val="Heading 2 Char"/>
    <w:aliases w:val="h2 Char,B Sub/Bold Char,Heading 22 Char"/>
    <w:basedOn w:val="DefaultParagraphFont"/>
    <w:link w:val="Heading2"/>
    <w:uiPriority w:val="9"/>
    <w:rsid w:val="00652748"/>
    <w:rPr>
      <w:rFonts w:ascii="Times New Roman" w:eastAsia="Times New Roman" w:hAnsi="Times New Roman" w:cs="Times New Roman"/>
      <w:b/>
      <w:bCs/>
      <w:color w:val="44546A" w:themeColor="text2"/>
      <w:kern w:val="0"/>
      <w:szCs w:val="28"/>
      <w:lang w:val="pt-PT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2748"/>
    <w:rPr>
      <w:rFonts w:ascii="Cambria" w:eastAsia="Times New Roman" w:hAnsi="Cambria" w:cs="Times New Roman"/>
      <w:b/>
      <w:bCs/>
      <w:kern w:val="0"/>
      <w:sz w:val="26"/>
      <w:szCs w:val="26"/>
      <w:lang w:val="pt-PT"/>
      <w14:ligatures w14:val="none"/>
    </w:rPr>
  </w:style>
  <w:style w:type="paragraph" w:styleId="ListParagraph">
    <w:name w:val="List Paragraph"/>
    <w:aliases w:val="Figura,Lista 1,Project Description,List Bulet,AB List 1,Bullet Points,ProcessA,Liste couleur - Accent 1,Liste couleur - Accent 14,COMESA Text 2,Standard 12 pt,Paragraphe de liste rapport atelier Mada,Heading II,Number Bullets,Normal1,Ha"/>
    <w:basedOn w:val="Normal"/>
    <w:link w:val="ListParagraphChar"/>
    <w:uiPriority w:val="34"/>
    <w:qFormat/>
    <w:rsid w:val="00652748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  <w:sz w:val="22"/>
      <w:lang w:val="pt-PT"/>
    </w:rPr>
  </w:style>
  <w:style w:type="character" w:customStyle="1" w:styleId="ListParagraphChar">
    <w:name w:val="List Paragraph Char"/>
    <w:aliases w:val="Figura Char,Lista 1 Char,Project Description Char,List Bulet Char,AB List 1 Char,Bullet Points Char,ProcessA Char,Liste couleur - Accent 1 Char,Liste couleur - Accent 14 Char,COMESA Text 2 Char,Standard 12 pt Char,Heading II Char"/>
    <w:link w:val="ListParagraph"/>
    <w:uiPriority w:val="34"/>
    <w:rsid w:val="00652748"/>
    <w:rPr>
      <w:rFonts w:ascii="Calibri" w:eastAsia="Times New Roman" w:hAnsi="Calibri" w:cs="Times New Roman"/>
      <w:kern w:val="0"/>
      <w:sz w:val="22"/>
      <w:szCs w:val="22"/>
      <w:lang w:val="pt-PT"/>
      <w14:ligatures w14:val="none"/>
    </w:rPr>
  </w:style>
  <w:style w:type="character" w:styleId="CommentReference">
    <w:name w:val="annotation reference"/>
    <w:basedOn w:val="DefaultParagraphFont"/>
    <w:uiPriority w:val="99"/>
    <w:rsid w:val="006527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2748"/>
    <w:pPr>
      <w:spacing w:before="100" w:beforeAutospacing="1" w:after="100" w:afterAutospacing="1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0"/>
      <w:szCs w:val="20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748"/>
    <w:rPr>
      <w:rFonts w:ascii="Arial" w:eastAsia="Times New Roman" w:hAnsi="Arial" w:cs="Times New Roman"/>
      <w:kern w:val="0"/>
      <w:sz w:val="20"/>
      <w:szCs w:val="20"/>
      <w:lang w:val="pt-PT"/>
      <w14:ligatures w14:val="none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652748"/>
    <w:pPr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  <w:lang w:val="pt-PT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652748"/>
    <w:rPr>
      <w:rFonts w:ascii="Calibri" w:eastAsia="Times New Roman" w:hAnsi="Calibri" w:cs="Times New Roman"/>
      <w:kern w:val="0"/>
      <w:sz w:val="20"/>
      <w:szCs w:val="20"/>
      <w:lang w:val="pt-PT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52748"/>
    <w:rPr>
      <w:rFonts w:cs="Times New Roman"/>
      <w:vertAlign w:val="superscript"/>
    </w:rPr>
  </w:style>
  <w:style w:type="table" w:styleId="TableGrid0">
    <w:name w:val="Table Grid"/>
    <w:basedOn w:val="TableNormal"/>
    <w:uiPriority w:val="39"/>
    <w:rsid w:val="00652748"/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860C9A"/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BE"/>
    <w:pPr>
      <w:spacing w:before="0" w:beforeAutospacing="0" w:after="3" w:afterAutospacing="0"/>
      <w:ind w:left="3808" w:hanging="10"/>
      <w:jc w:val="left"/>
    </w:pPr>
    <w:rPr>
      <w:rFonts w:ascii="Calibri" w:eastAsia="Calibri" w:hAnsi="Calibri" w:cs="Calibri"/>
      <w:b/>
      <w:bCs/>
      <w:color w:val="273B69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8BE"/>
    <w:rPr>
      <w:rFonts w:ascii="Calibri" w:eastAsia="Calibri" w:hAnsi="Calibri" w:cs="Calibri"/>
      <w:b/>
      <w:bCs/>
      <w:color w:val="273B69"/>
      <w:kern w:val="0"/>
      <w:sz w:val="20"/>
      <w:szCs w:val="20"/>
      <w:lang w:val="pt-PT"/>
      <w14:ligatures w14:val="none"/>
    </w:rPr>
  </w:style>
  <w:style w:type="character" w:customStyle="1" w:styleId="cf01">
    <w:name w:val="cf01"/>
    <w:basedOn w:val="DefaultParagraphFont"/>
    <w:rsid w:val="00BB40CB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0A2C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90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05862C46F64EEA974567905543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22F6-43F3-4E99-AEFE-0A2A43E090F3}"/>
      </w:docPartPr>
      <w:docPartBody>
        <w:p w:rsidR="00062D19" w:rsidRDefault="00062D19" w:rsidP="00062D19">
          <w:pPr>
            <w:pStyle w:val="FB05862C46F64EEA9745679055433C02"/>
          </w:pPr>
          <w:r w:rsidRPr="005E2E15">
            <w:rPr>
              <w:rStyle w:val="PlaceholderText"/>
            </w:rPr>
            <w:t>Choose an item.</w:t>
          </w:r>
        </w:p>
      </w:docPartBody>
    </w:docPart>
    <w:docPart>
      <w:docPartPr>
        <w:name w:val="1EBC9D6149C948CC9077C2031501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F78F-436D-4133-B63B-4B846747708C}"/>
      </w:docPartPr>
      <w:docPartBody>
        <w:p w:rsidR="00062D19" w:rsidRDefault="00062D19" w:rsidP="00062D19">
          <w:pPr>
            <w:pStyle w:val="1EBC9D6149C948CC9077C2031501ABEB"/>
          </w:pPr>
          <w:r w:rsidRPr="005E2E15">
            <w:rPr>
              <w:rStyle w:val="PlaceholderText"/>
            </w:rPr>
            <w:t>Choose an item.</w:t>
          </w:r>
        </w:p>
      </w:docPartBody>
    </w:docPart>
    <w:docPart>
      <w:docPartPr>
        <w:name w:val="4F714C5665DB4638BAD565C6B37C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8914-6679-4797-93BF-46FC0458682B}"/>
      </w:docPartPr>
      <w:docPartBody>
        <w:p w:rsidR="00062D19" w:rsidRDefault="00062D19" w:rsidP="00062D19">
          <w:pPr>
            <w:pStyle w:val="4F714C5665DB4638BAD565C6B37C87F7"/>
          </w:pPr>
          <w:r w:rsidRPr="005E2E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9"/>
    <w:rsid w:val="00062D19"/>
    <w:rsid w:val="0018352C"/>
    <w:rsid w:val="001E51DB"/>
    <w:rsid w:val="00214F52"/>
    <w:rsid w:val="00252420"/>
    <w:rsid w:val="0027314A"/>
    <w:rsid w:val="002D14ED"/>
    <w:rsid w:val="00371252"/>
    <w:rsid w:val="004576AF"/>
    <w:rsid w:val="0056167A"/>
    <w:rsid w:val="005C0D7C"/>
    <w:rsid w:val="005F4528"/>
    <w:rsid w:val="00634B43"/>
    <w:rsid w:val="0070444B"/>
    <w:rsid w:val="007B6663"/>
    <w:rsid w:val="00801AFD"/>
    <w:rsid w:val="00932061"/>
    <w:rsid w:val="00BA0C6D"/>
    <w:rsid w:val="00E811BD"/>
    <w:rsid w:val="00F52502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D19"/>
    <w:rPr>
      <w:color w:val="808080"/>
    </w:rPr>
  </w:style>
  <w:style w:type="paragraph" w:customStyle="1" w:styleId="FB05862C46F64EEA9745679055433C02">
    <w:name w:val="FB05862C46F64EEA9745679055433C02"/>
    <w:rsid w:val="00062D19"/>
  </w:style>
  <w:style w:type="paragraph" w:customStyle="1" w:styleId="1EBC9D6149C948CC9077C2031501ABEB">
    <w:name w:val="1EBC9D6149C948CC9077C2031501ABEB"/>
    <w:rsid w:val="00062D19"/>
  </w:style>
  <w:style w:type="paragraph" w:customStyle="1" w:styleId="4F714C5665DB4638BAD565C6B37C87F7">
    <w:name w:val="4F714C5665DB4638BAD565C6B37C87F7"/>
    <w:rsid w:val="00062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EC0BC01263C47809978F5A09D3D73" ma:contentTypeVersion="2" ma:contentTypeDescription="Criar um novo documento." ma:contentTypeScope="" ma:versionID="16e231649d7ab1ec4219ca891a2d4ba0">
  <xsd:schema xmlns:xsd="http://www.w3.org/2001/XMLSchema" xmlns:xs="http://www.w3.org/2001/XMLSchema" xmlns:p="http://schemas.microsoft.com/office/2006/metadata/properties" xmlns:ns2="b632a0ff-80f8-499d-ad79-eeaeb0246fc2" targetNamespace="http://schemas.microsoft.com/office/2006/metadata/properties" ma:root="true" ma:fieldsID="19e50130f2e2b51092f7f56e8ce16ee1" ns2:_="">
    <xsd:import namespace="b632a0ff-80f8-499d-ad79-eeaeb0246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a0ff-80f8-499d-ad79-eeaeb0246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49E05-857B-46D1-A084-8E38C4E1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2a0ff-80f8-499d-ad79-eeaeb0246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0FE42-9CB3-49EF-BCCE-6EBA4AC94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283BC-0C01-4665-B979-57E8909C1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5FE2EF-2D49-4983-BD0F-9CCA013A5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2851</Words>
  <Characters>16255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Andrade Samanhanga</dc:creator>
  <cp:keywords/>
  <dc:description/>
  <cp:lastModifiedBy>DRL</cp:lastModifiedBy>
  <cp:revision>2</cp:revision>
  <cp:lastPrinted>2024-11-20T06:46:00Z</cp:lastPrinted>
  <dcterms:created xsi:type="dcterms:W3CDTF">2024-11-28T08:34:00Z</dcterms:created>
  <dcterms:modified xsi:type="dcterms:W3CDTF">2024-11-28T08:34:00Z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0x010100E57EC0BC01263C47809978F5A09D3D73</vt:lpwstr>
  </property>
  <property fmtid="{D5CDD505-2E9C-101B-9397-08002B2CF9AE}" pid="3" name="MSIP_Label_dbfb4469-32f9-4af3-b66e-a3c55befa5a9_Enabled">
    <vt:lpwstr>true</vt:lpwstr>
  </property>
  <property fmtid="{D5CDD505-2E9C-101B-9397-08002B2CF9AE}" pid="4" name="MSIP_Label_dbfb4469-32f9-4af3-b66e-a3c55befa5a9_SetDate">
    <vt:lpwstr>2024-09-23T13:37:31Z</vt:lpwstr>
  </property>
  <property fmtid="{D5CDD505-2E9C-101B-9397-08002B2CF9AE}" pid="5" name="MSIP_Label_dbfb4469-32f9-4af3-b66e-a3c55befa5a9_Method">
    <vt:lpwstr>Privileged</vt:lpwstr>
  </property>
  <property fmtid="{D5CDD505-2E9C-101B-9397-08002B2CF9AE}" pid="6" name="MSIP_Label_dbfb4469-32f9-4af3-b66e-a3c55befa5a9_Name">
    <vt:lpwstr>defa4170-0d19-0005-0001-bc88714345d2</vt:lpwstr>
  </property>
  <property fmtid="{D5CDD505-2E9C-101B-9397-08002B2CF9AE}" pid="7" name="MSIP_Label_dbfb4469-32f9-4af3-b66e-a3c55befa5a9_SiteId">
    <vt:lpwstr>b7697c94-a3e3-49f6-a540-f02c205e7d5b</vt:lpwstr>
  </property>
  <property fmtid="{D5CDD505-2E9C-101B-9397-08002B2CF9AE}" pid="8" name="MSIP_Label_dbfb4469-32f9-4af3-b66e-a3c55befa5a9_ActionId">
    <vt:lpwstr>12428df1-1585-46bd-8ddf-62430471493d</vt:lpwstr>
  </property>
  <property fmtid="{D5CDD505-2E9C-101B-9397-08002B2CF9AE}" pid="9" name="MSIP_Label_dbfb4469-32f9-4af3-b66e-a3c55befa5a9_ContentBits">
    <vt:lpwstr>0</vt:lpwstr>
  </property>
</Properties>
</file>