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88D4" w14:textId="38B9412F" w:rsidR="000C6EC7" w:rsidRPr="00E3023F" w:rsidRDefault="00631208" w:rsidP="00182905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</w:pPr>
      <w:r w:rsidRPr="00E3023F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 xml:space="preserve"> </w:t>
      </w:r>
    </w:p>
    <w:p w14:paraId="1657E554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>BANCO DE MOÇAMBIQUE</w:t>
      </w:r>
    </w:p>
    <w:p w14:paraId="24B63B90" w14:textId="7194EBE8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7E17D774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73B17CAA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7B088BF3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11EDF5C5" w14:textId="0ACAA62E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pt-PT" w:eastAsia="en-GB"/>
        </w:rPr>
        <w:drawing>
          <wp:inline distT="0" distB="0" distL="0" distR="0" wp14:anchorId="52E7814A" wp14:editId="5B289B38">
            <wp:extent cx="76200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23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FA5038" w14:textId="77777777" w:rsidR="0071460E" w:rsidRPr="00E3023F" w:rsidRDefault="0071460E" w:rsidP="00182905">
      <w:pPr>
        <w:tabs>
          <w:tab w:val="num" w:pos="5400"/>
        </w:tabs>
        <w:spacing w:after="0" w:line="360" w:lineRule="auto"/>
        <w:ind w:left="-18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4DE46363" w14:textId="77777777" w:rsidR="0071460E" w:rsidRPr="00E3023F" w:rsidRDefault="0071460E" w:rsidP="0018290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t-PT"/>
        </w:rPr>
      </w:pPr>
    </w:p>
    <w:p w14:paraId="4DC5AE4C" w14:textId="77777777" w:rsidR="0071460E" w:rsidRPr="00E3023F" w:rsidRDefault="0071460E" w:rsidP="00182905">
      <w:pPr>
        <w:tabs>
          <w:tab w:val="left" w:pos="213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t-PT"/>
        </w:rPr>
      </w:pPr>
    </w:p>
    <w:p w14:paraId="33BC7194" w14:textId="77777777" w:rsidR="0071460E" w:rsidRPr="00E3023F" w:rsidRDefault="0071460E" w:rsidP="00182905">
      <w:pPr>
        <w:tabs>
          <w:tab w:val="left" w:pos="213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5F5DF7AE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32F3C1E7" w14:textId="77777777" w:rsidR="0071460E" w:rsidRPr="00E3023F" w:rsidRDefault="0071460E" w:rsidP="00182905">
      <w:pPr>
        <w:pBdr>
          <w:bottom w:val="single" w:sz="4" w:space="1" w:color="auto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AVISO DO GOVERNADOR DO BANCO DE MOÇAMBIQUE</w:t>
      </w:r>
    </w:p>
    <w:p w14:paraId="4C627FC7" w14:textId="77777777" w:rsidR="0071460E" w:rsidRPr="00E3023F" w:rsidRDefault="0071460E" w:rsidP="00182905">
      <w:pPr>
        <w:tabs>
          <w:tab w:val="left" w:pos="213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9CCCC5B" w14:textId="735B68E9" w:rsidR="0071460E" w:rsidRPr="00E3023F" w:rsidRDefault="00BF56C6" w:rsidP="00182905">
      <w:pPr>
        <w:tabs>
          <w:tab w:val="left" w:pos="213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bookmarkStart w:id="0" w:name="_Hlk168485317"/>
      <w:bookmarkStart w:id="1" w:name="_Hlk158885146"/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REVISÃO DO</w:t>
      </w:r>
      <w:r w:rsidR="0071460E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 </w:t>
      </w:r>
      <w:bookmarkStart w:id="2" w:name="_Hlk158885581"/>
      <w:r w:rsidR="0071460E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AVISO N.º </w:t>
      </w:r>
      <w:r w:rsidR="002E56A0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6</w:t>
      </w:r>
      <w:r w:rsidR="0071460E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/GBM/2015, DE </w:t>
      </w:r>
      <w:r w:rsidR="002E56A0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31 DE DEZEMBRO</w:t>
      </w:r>
      <w:bookmarkEnd w:id="0"/>
      <w:bookmarkEnd w:id="2"/>
      <w:r w:rsidR="002E56A0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  <w:r w:rsidR="00C34B42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ATINENTE ÀS</w:t>
      </w:r>
      <w:r w:rsidR="002E56A0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MEDIDAS DE PROTECÇÃO DOS FUNDOS RECEBIDOS DE CLIENTES EM TROCA DE MOEDA ELECTRÓNICA</w:t>
      </w:r>
    </w:p>
    <w:bookmarkEnd w:id="1"/>
    <w:p w14:paraId="40C8C1CF" w14:textId="77777777" w:rsidR="0071460E" w:rsidRPr="00E3023F" w:rsidRDefault="0071460E" w:rsidP="00182905">
      <w:pPr>
        <w:tabs>
          <w:tab w:val="left" w:pos="213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0BFFAB0" w14:textId="77777777" w:rsidR="0071460E" w:rsidRPr="00E3023F" w:rsidRDefault="0071460E" w:rsidP="0018290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7FB55424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6A69F438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7DCAEE05" w14:textId="77777777" w:rsidR="0071460E" w:rsidRPr="00E3023F" w:rsidRDefault="0071460E" w:rsidP="0018290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6D1A224F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1EA33181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75AEDEA1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509FAC3D" w14:textId="77777777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</w:p>
    <w:p w14:paraId="7C01CED1" w14:textId="6F2319A6" w:rsidR="0071460E" w:rsidRPr="00E3023F" w:rsidRDefault="0071460E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Maputo, </w:t>
      </w:r>
      <w:r w:rsidR="00DE72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Abril</w:t>
      </w:r>
      <w:r w:rsidR="00DF76CD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de </w:t>
      </w:r>
      <w:r w:rsidR="00DF76CD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202</w:t>
      </w:r>
      <w:r w:rsidR="00DF76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5</w:t>
      </w:r>
    </w:p>
    <w:p w14:paraId="381B986A" w14:textId="77777777" w:rsidR="0071460E" w:rsidRPr="00E3023F" w:rsidRDefault="0071460E" w:rsidP="00182905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sectPr w:rsidR="0071460E" w:rsidRPr="00E3023F" w:rsidSect="00EE41F0">
          <w:headerReference w:type="default" r:id="rId12"/>
          <w:pgSz w:w="11906" w:h="16838"/>
          <w:pgMar w:top="1902" w:right="1440" w:bottom="1440" w:left="1440" w:header="708" w:footer="708" w:gutter="0"/>
          <w:cols w:space="708"/>
          <w:docGrid w:linePitch="360"/>
        </w:sectPr>
      </w:pPr>
    </w:p>
    <w:p w14:paraId="343F29D6" w14:textId="7CD002EA" w:rsidR="00631208" w:rsidRPr="00E3023F" w:rsidRDefault="00C34B42" w:rsidP="00182905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</w:pPr>
      <w:r w:rsidRPr="00E3023F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lastRenderedPageBreak/>
        <w:t>AVISO N.º…… /GBM/202</w:t>
      </w:r>
      <w:r w:rsidR="00DF76CD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>5</w:t>
      </w:r>
    </w:p>
    <w:p w14:paraId="12D79971" w14:textId="66801814" w:rsidR="000C6EC7" w:rsidRPr="00E3023F" w:rsidRDefault="00C34B42" w:rsidP="0018290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PT"/>
        </w:rPr>
        <w:t xml:space="preserve">MAPUTO, 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id w:val="502628213"/>
          <w:placeholder>
            <w:docPart w:val="FB05862C46F64EEA9745679055433C02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E3023F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XX</w:t>
          </w:r>
        </w:sdtContent>
      </w:sdt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DE 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id w:val="663368094"/>
          <w:placeholder>
            <w:docPart w:val="1EBC9D6149C948CC9077C2031501ABEB"/>
          </w:placeholder>
          <w:comboBox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DE7234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Abril</w:t>
          </w:r>
        </w:sdtContent>
      </w:sdt>
      <w:r w:rsidR="00E3023F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DE</w:t>
      </w: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id w:val="2116931765"/>
          <w:placeholder>
            <w:docPart w:val="4F714C5665DB4638BAD565C6B37C87F7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</w:comboBox>
        </w:sdtPr>
        <w:sdtEndPr/>
        <w:sdtContent>
          <w:r w:rsidR="00DF76CD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val="pt-PT"/>
            </w:rPr>
            <w:t>2025</w:t>
          </w:r>
        </w:sdtContent>
      </w:sdt>
    </w:p>
    <w:p w14:paraId="72CD7F29" w14:textId="77777777" w:rsidR="000C6EC7" w:rsidRPr="00E3023F" w:rsidRDefault="000C6EC7" w:rsidP="00182905">
      <w:pPr>
        <w:spacing w:after="0" w:line="360" w:lineRule="auto"/>
        <w:ind w:left="18" w:firstLine="0"/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</w:pP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7570"/>
      </w:tblGrid>
      <w:tr w:rsidR="00E3023F" w:rsidRPr="00DE7234" w14:paraId="1EC9D0C3" w14:textId="77777777" w:rsidTr="00C34B42">
        <w:tc>
          <w:tcPr>
            <w:tcW w:w="1428" w:type="dxa"/>
          </w:tcPr>
          <w:p w14:paraId="7A03287C" w14:textId="1E22BE49" w:rsidR="00C34B42" w:rsidRPr="00E3023F" w:rsidRDefault="00C34B42" w:rsidP="0018290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</w:pPr>
            <w:r w:rsidRPr="00E302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/>
              </w:rPr>
              <w:t>ASSUNTO:</w:t>
            </w:r>
          </w:p>
        </w:tc>
        <w:tc>
          <w:tcPr>
            <w:tcW w:w="7570" w:type="dxa"/>
          </w:tcPr>
          <w:p w14:paraId="66351DEC" w14:textId="564BA67A" w:rsidR="00C34B42" w:rsidRPr="00E3023F" w:rsidRDefault="00C34B42" w:rsidP="00182905">
            <w:p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/>
              </w:rPr>
            </w:pPr>
            <w:r w:rsidRPr="00E302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pt-PT"/>
              </w:rPr>
              <w:t>MEDIDAS DE PROTECÇÃO DOS FUNDOS RECEBIDOS DE CLIENTES EM TROCA DE MOEDA ELECTRÓNICA</w:t>
            </w:r>
          </w:p>
        </w:tc>
      </w:tr>
    </w:tbl>
    <w:p w14:paraId="483F159C" w14:textId="77777777" w:rsidR="00C34B42" w:rsidRPr="00E3023F" w:rsidRDefault="00C34B42" w:rsidP="00182905">
      <w:pPr>
        <w:spacing w:after="0" w:line="360" w:lineRule="auto"/>
        <w:ind w:left="0" w:right="-46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122CC7A5" w14:textId="60737DE5" w:rsidR="006500C6" w:rsidRPr="00E3023F" w:rsidRDefault="006500C6" w:rsidP="00BF56C6">
      <w:pPr>
        <w:spacing w:after="0" w:line="360" w:lineRule="auto"/>
        <w:ind w:left="0" w:right="-46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Mostrando-se necessário</w:t>
      </w:r>
      <w:r w:rsidR="0055658F"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  <w:r w:rsidR="00C34B42"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proceder </w:t>
      </w:r>
      <w:r w:rsidR="00610BDF"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ao reforço das</w:t>
      </w:r>
      <w:r w:rsidR="00AC6D6D"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medidas de protecção dos fundos recebidos </w:t>
      </w:r>
      <w:r w:rsidR="00610BDF"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d</w:t>
      </w:r>
      <w:r w:rsidR="00AC6D6D"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e clientes em troca de moeda electrónica, </w:t>
      </w:r>
      <w:r w:rsidR="0055658F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o Banco de Moçambique, ao abrigo do </w:t>
      </w:r>
      <w:r w:rsidR="00C34B42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disposto no n.º 4 do artigo 17 da Lei n.º 2/2008, de 27 de Fevereiro – Lei do Sistema Nacional de Pagamentos,</w:t>
      </w:r>
      <w:r w:rsidR="0055658F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</w:t>
      </w:r>
      <w:r w:rsidR="00100A0A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determina:</w:t>
      </w:r>
    </w:p>
    <w:p w14:paraId="1AE3406B" w14:textId="77777777" w:rsidR="00AC6D6D" w:rsidRPr="00E3023F" w:rsidRDefault="00AC6D6D" w:rsidP="00BF56C6">
      <w:pPr>
        <w:spacing w:after="0" w:line="360" w:lineRule="auto"/>
        <w:ind w:left="0" w:right="-46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23948244" w14:textId="40C2528A" w:rsidR="00BF56C6" w:rsidRPr="00E3023F" w:rsidRDefault="00AC6D6D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C</w:t>
      </w:r>
      <w:r w:rsidR="00BF56C6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APÍTULO I</w:t>
      </w:r>
    </w:p>
    <w:p w14:paraId="135631AA" w14:textId="37FB1CDE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DISPOSIÇÕES GERAIS</w:t>
      </w:r>
    </w:p>
    <w:p w14:paraId="46A82E6F" w14:textId="77777777" w:rsidR="00AC6D6D" w:rsidRPr="00E3023F" w:rsidRDefault="00AC6D6D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6CBC0642" w14:textId="4D61DAA6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 1</w:t>
      </w:r>
    </w:p>
    <w:p w14:paraId="0448FCB7" w14:textId="77777777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Objecto</w:t>
      </w:r>
    </w:p>
    <w:p w14:paraId="5AE4792C" w14:textId="28EDFC20" w:rsidR="00BF56C6" w:rsidRPr="00E3023F" w:rsidRDefault="00BF56C6" w:rsidP="00BF56C6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 presente Aviso estabelece as medidas de protecção dos fundos recebidos dos clientes em troca da moeda electrónica emitida pelas instituições de moeda electrónica.</w:t>
      </w:r>
    </w:p>
    <w:p w14:paraId="6873B955" w14:textId="77777777" w:rsidR="00BF56C6" w:rsidRPr="00E3023F" w:rsidRDefault="00BF56C6" w:rsidP="00BF56C6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694263D1" w14:textId="23693CEF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 2</w:t>
      </w:r>
    </w:p>
    <w:p w14:paraId="32FC3F3D" w14:textId="7552E814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Âmbito de aplicação</w:t>
      </w:r>
    </w:p>
    <w:p w14:paraId="3C090269" w14:textId="088BCBBF" w:rsidR="00BF56C6" w:rsidRPr="00E3023F" w:rsidRDefault="00BF56C6" w:rsidP="00BF56C6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O presente Aviso aplica-se às instituições de moeda electrónica e </w:t>
      </w:r>
      <w:r w:rsidR="00610BDF"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aos bancos</w:t>
      </w:r>
      <w:r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que domicili</w:t>
      </w:r>
      <w:r w:rsidR="00610BDF"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</w:t>
      </w:r>
      <w:r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m conta</w:t>
      </w:r>
      <w:r w:rsidR="00610BDF"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fiduciária</w:t>
      </w:r>
      <w:r w:rsidR="00610BDF"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s</w:t>
      </w:r>
      <w:r w:rsidRPr="00E3023F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.</w:t>
      </w:r>
    </w:p>
    <w:p w14:paraId="6194E31D" w14:textId="77777777" w:rsidR="00BF56C6" w:rsidRPr="00E3023F" w:rsidRDefault="00BF56C6" w:rsidP="00BF56C6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</w:p>
    <w:p w14:paraId="64AB14E4" w14:textId="19FFC9AB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 3</w:t>
      </w:r>
    </w:p>
    <w:p w14:paraId="62D4DDA5" w14:textId="51D9D148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Definições</w:t>
      </w:r>
    </w:p>
    <w:p w14:paraId="7A04F902" w14:textId="62F518C0" w:rsidR="00BF56C6" w:rsidRPr="00E3023F" w:rsidRDefault="00BF56C6" w:rsidP="00BF56C6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Os termos e expressões usados no presente Aviso constam do </w:t>
      </w:r>
      <w:r w:rsidR="00536FFB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glossário</w:t>
      </w: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, em anexo, que dele é parte integrante.</w:t>
      </w:r>
    </w:p>
    <w:p w14:paraId="288BFDDD" w14:textId="77777777" w:rsidR="00BF56C6" w:rsidRPr="00E3023F" w:rsidRDefault="00BF56C6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604F456A" w14:textId="77777777" w:rsidR="00BF56C6" w:rsidRPr="00E3023F" w:rsidRDefault="00BF56C6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4BD0D76F" w14:textId="77777777" w:rsidR="00AC6D6D" w:rsidRPr="00E3023F" w:rsidRDefault="00AC6D6D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83C0391" w14:textId="77777777" w:rsidR="00AC6D6D" w:rsidRPr="00E3023F" w:rsidRDefault="00AC6D6D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146BBC00" w14:textId="1D73AB48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lastRenderedPageBreak/>
        <w:t>CAPÍTULO II</w:t>
      </w:r>
    </w:p>
    <w:p w14:paraId="04181715" w14:textId="45CEAD4A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EMISSÃO DE MOEDA ELECTR</w:t>
      </w:r>
      <w:r w:rsidR="00CB6524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Ó</w:t>
      </w: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NICA E PROTECÇÃO DOS FUNDOS</w:t>
      </w:r>
    </w:p>
    <w:p w14:paraId="0C2EC82D" w14:textId="77777777" w:rsidR="00AC6D6D" w:rsidRPr="00E3023F" w:rsidRDefault="00AC6D6D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2DC5C6E0" w14:textId="6B1EB204" w:rsidR="007C534B" w:rsidRPr="00E3023F" w:rsidRDefault="007C534B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SECÇÃO I</w:t>
      </w:r>
    </w:p>
    <w:p w14:paraId="06805AA4" w14:textId="29D82D4F" w:rsidR="007C534B" w:rsidRPr="00E3023F" w:rsidRDefault="007C534B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Princípios gerais</w:t>
      </w:r>
    </w:p>
    <w:p w14:paraId="1D372950" w14:textId="77777777" w:rsidR="007C534B" w:rsidRPr="00E3023F" w:rsidRDefault="007C534B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2B3A3442" w14:textId="7198C0F1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 4</w:t>
      </w:r>
    </w:p>
    <w:p w14:paraId="72F38138" w14:textId="77777777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Emissão e reembolso</w:t>
      </w:r>
    </w:p>
    <w:p w14:paraId="5A076951" w14:textId="41F7ADC2" w:rsidR="00BF56C6" w:rsidRPr="00E3023F" w:rsidRDefault="00BF56C6" w:rsidP="00BF56C6">
      <w:pPr>
        <w:pStyle w:val="ListParagraph"/>
        <w:numPr>
          <w:ilvl w:val="0"/>
          <w:numId w:val="6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 xml:space="preserve">A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deve ser emitida pelo valor nominal após a recepção, pela instituição de moeda electrónica</w:t>
      </w:r>
      <w:r w:rsidR="00536FFB" w:rsidRPr="00E3023F">
        <w:rPr>
          <w:lang w:val="pt-PT"/>
        </w:rPr>
        <w:t>,</w:t>
      </w:r>
      <w:r w:rsidRPr="00E3023F">
        <w:rPr>
          <w:lang w:val="pt-PT"/>
        </w:rPr>
        <w:t xml:space="preserve"> dos fundos no montante equivalente.</w:t>
      </w:r>
    </w:p>
    <w:p w14:paraId="0EF97FED" w14:textId="5109F4F7" w:rsidR="00BF56C6" w:rsidRPr="00E3023F" w:rsidRDefault="006D5F7B" w:rsidP="00BF56C6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Sem prejuízo do disposto </w:t>
      </w:r>
      <w:r w:rsidR="002413E6">
        <w:rPr>
          <w:b/>
          <w:bCs/>
          <w:lang w:val="pt-PT"/>
        </w:rPr>
        <w:t>n</w:t>
      </w:r>
      <w:r w:rsidRPr="00E3023F">
        <w:rPr>
          <w:b/>
          <w:bCs/>
          <w:lang w:val="pt-PT"/>
        </w:rPr>
        <w:t xml:space="preserve">o Código de Conduta </w:t>
      </w:r>
      <w:r w:rsidR="002413E6">
        <w:rPr>
          <w:b/>
          <w:bCs/>
          <w:lang w:val="pt-PT"/>
        </w:rPr>
        <w:t xml:space="preserve">das Instituições de Crédito, Sociedades Financeiras </w:t>
      </w:r>
      <w:r w:rsidRPr="00E3023F">
        <w:rPr>
          <w:b/>
          <w:bCs/>
          <w:lang w:val="pt-PT"/>
        </w:rPr>
        <w:t>e de Protecção do Consumidor Financeiro e demais legislação aplicável, a</w:t>
      </w:r>
      <w:r w:rsidR="00BF56C6" w:rsidRPr="00E3023F">
        <w:rPr>
          <w:b/>
          <w:bCs/>
          <w:lang w:val="pt-PT"/>
        </w:rPr>
        <w:t xml:space="preserve"> instituição de moeda electrónica dev</w:t>
      </w:r>
      <w:r w:rsidR="001E5262" w:rsidRPr="00E3023F">
        <w:rPr>
          <w:b/>
          <w:bCs/>
          <w:lang w:val="pt-PT"/>
        </w:rPr>
        <w:t xml:space="preserve">e disponibilizar </w:t>
      </w:r>
      <w:r w:rsidRPr="00E3023F">
        <w:rPr>
          <w:b/>
          <w:bCs/>
          <w:lang w:val="pt-PT"/>
        </w:rPr>
        <w:t>os termos e condições para adesão a</w:t>
      </w:r>
      <w:r w:rsidR="001E5262" w:rsidRPr="00E3023F">
        <w:rPr>
          <w:b/>
          <w:bCs/>
          <w:lang w:val="pt-PT"/>
        </w:rPr>
        <w:t xml:space="preserve">o serviço </w:t>
      </w:r>
      <w:r w:rsidRPr="00E3023F">
        <w:rPr>
          <w:b/>
          <w:bCs/>
          <w:lang w:val="pt-PT"/>
        </w:rPr>
        <w:t>de moeda electrónica ao</w:t>
      </w:r>
      <w:r w:rsidR="00BF56C6" w:rsidRPr="00E3023F">
        <w:rPr>
          <w:b/>
          <w:bCs/>
          <w:lang w:val="pt-PT"/>
        </w:rPr>
        <w:t xml:space="preserve"> portador</w:t>
      </w:r>
      <w:r w:rsidR="00AC6D6D" w:rsidRPr="00E3023F">
        <w:rPr>
          <w:b/>
          <w:bCs/>
          <w:lang w:val="pt-PT"/>
        </w:rPr>
        <w:t>,</w:t>
      </w:r>
      <w:r w:rsidR="00BF56C6" w:rsidRPr="00E3023F">
        <w:rPr>
          <w:b/>
          <w:bCs/>
          <w:lang w:val="pt-PT"/>
        </w:rPr>
        <w:t xml:space="preserve"> de forma clara e objectiva</w:t>
      </w:r>
      <w:r w:rsidR="00AC6D6D" w:rsidRPr="00E3023F">
        <w:rPr>
          <w:b/>
          <w:bCs/>
          <w:lang w:val="pt-PT"/>
        </w:rPr>
        <w:t>,</w:t>
      </w:r>
      <w:r w:rsidR="00BF56C6" w:rsidRPr="00E3023F">
        <w:rPr>
          <w:b/>
          <w:bCs/>
          <w:lang w:val="pt-PT"/>
        </w:rPr>
        <w:t xml:space="preserve"> </w:t>
      </w:r>
      <w:r w:rsidRPr="00E3023F">
        <w:rPr>
          <w:b/>
          <w:bCs/>
          <w:lang w:val="pt-PT"/>
        </w:rPr>
        <w:t>que deve incluir o</w:t>
      </w:r>
      <w:r w:rsidR="00BF56C6" w:rsidRPr="00E3023F">
        <w:rPr>
          <w:b/>
          <w:bCs/>
          <w:lang w:val="pt-PT"/>
        </w:rPr>
        <w:t xml:space="preserve"> reembolso e quaisquer comissões ou encargos relacionados com os serviços prestados.</w:t>
      </w:r>
    </w:p>
    <w:p w14:paraId="424B2ACD" w14:textId="77777777" w:rsidR="00176752" w:rsidRPr="00E3023F" w:rsidRDefault="00176752" w:rsidP="00CB6524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218D1495" w14:textId="5843F642" w:rsidR="00BF56C6" w:rsidRPr="00E3023F" w:rsidRDefault="00CB6524" w:rsidP="00CB6524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 5</w:t>
      </w:r>
    </w:p>
    <w:p w14:paraId="3C5B611C" w14:textId="77777777" w:rsidR="00BF56C6" w:rsidRPr="00E3023F" w:rsidRDefault="00BF56C6" w:rsidP="00CB6524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Protecção dos fundos - Princípio Geral</w:t>
      </w:r>
    </w:p>
    <w:p w14:paraId="1E55B7D3" w14:textId="6E633049" w:rsidR="00BF56C6" w:rsidRPr="00E3023F" w:rsidRDefault="00BF56C6" w:rsidP="00D51565">
      <w:pPr>
        <w:spacing w:line="360" w:lineRule="auto"/>
        <w:ind w:left="-10" w:firstLine="0"/>
        <w:jc w:val="both"/>
        <w:rPr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As instituições de moeda electrónica devem proteger os fundos recebido</w:t>
      </w:r>
      <w:r w:rsidR="00CB6566"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s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 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dos portadores de moeda electrónica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, assegurando que:</w:t>
      </w:r>
    </w:p>
    <w:p w14:paraId="05F5C6B7" w14:textId="4209D08B" w:rsidR="00BF56C6" w:rsidRPr="00E3023F" w:rsidRDefault="002025C8" w:rsidP="00CB6524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>e</w:t>
      </w:r>
      <w:r w:rsidR="00BF56C6" w:rsidRPr="00E3023F">
        <w:rPr>
          <w:lang w:val="pt-PT"/>
        </w:rPr>
        <w:t>stejam, a todo o momento, separados de outros fundos decorrentes das suas actividades ou de qualquer pessoa singular ou colectiva distinta dos portadores; e</w:t>
      </w:r>
    </w:p>
    <w:p w14:paraId="2B120F3A" w14:textId="00D02C2E" w:rsidR="00BF56C6" w:rsidRPr="00E3023F" w:rsidRDefault="002025C8" w:rsidP="00CB6524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>s</w:t>
      </w:r>
      <w:r w:rsidR="00BF56C6" w:rsidRPr="00E3023F">
        <w:rPr>
          <w:lang w:val="pt-PT"/>
        </w:rPr>
        <w:t xml:space="preserve">ejam depositados numa conta fiduciária em </w:t>
      </w:r>
      <w:r w:rsidRPr="00E3023F">
        <w:rPr>
          <w:lang w:val="pt-PT"/>
        </w:rPr>
        <w:t>banco</w:t>
      </w:r>
      <w:r w:rsidR="00BF56C6" w:rsidRPr="00E3023F">
        <w:rPr>
          <w:lang w:val="pt-PT"/>
        </w:rPr>
        <w:t xml:space="preserve"> e usados, nos termos do disposto nos artigos 6 e 9, respectivamente. </w:t>
      </w:r>
      <w:r w:rsidR="00BF56C6" w:rsidRPr="00E3023F">
        <w:rPr>
          <w:lang w:val="pt-PT"/>
        </w:rPr>
        <w:cr/>
      </w:r>
    </w:p>
    <w:p w14:paraId="06AA6296" w14:textId="710ED6C4" w:rsidR="00BF56C6" w:rsidRPr="00E3023F" w:rsidRDefault="00CB6524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</w:t>
      </w:r>
      <w:r w:rsidR="00BF56C6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6</w:t>
      </w:r>
    </w:p>
    <w:p w14:paraId="5194CA97" w14:textId="7EFE468A" w:rsidR="00BF56C6" w:rsidRPr="00E3023F" w:rsidRDefault="00BF56C6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Abertura </w:t>
      </w:r>
      <w:r w:rsidR="002025C8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e acesso à 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conta fiduciária e depósito de fundos</w:t>
      </w:r>
    </w:p>
    <w:p w14:paraId="3A3DCA15" w14:textId="093C6E57" w:rsidR="00BF56C6" w:rsidRPr="00E3023F" w:rsidRDefault="00BF56C6" w:rsidP="00D51565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lang w:val="pt-PT"/>
        </w:rPr>
      </w:pPr>
      <w:r w:rsidRPr="00E3023F">
        <w:rPr>
          <w:lang w:val="pt-PT"/>
        </w:rPr>
        <w:t xml:space="preserve">As instituições de moeda electrónica devem abrir contas bancárias em </w:t>
      </w:r>
      <w:r w:rsidR="002025C8" w:rsidRPr="00E3023F">
        <w:rPr>
          <w:lang w:val="pt-PT"/>
        </w:rPr>
        <w:t xml:space="preserve">bancos </w:t>
      </w:r>
      <w:r w:rsidR="00CB6524" w:rsidRPr="00E3023F">
        <w:rPr>
          <w:lang w:val="pt-PT"/>
        </w:rPr>
        <w:t xml:space="preserve">no país </w:t>
      </w:r>
      <w:r w:rsidRPr="00E3023F">
        <w:rPr>
          <w:lang w:val="pt-PT"/>
        </w:rPr>
        <w:t>para o depósito dos fundos recebidos em troca de moeda electrónica, designada conta fiduciária, obedecendo aos limites estabelecidos no artigo</w:t>
      </w:r>
      <w:r w:rsidR="002025C8" w:rsidRPr="00E3023F">
        <w:rPr>
          <w:lang w:val="pt-PT"/>
        </w:rPr>
        <w:t xml:space="preserve"> </w:t>
      </w:r>
      <w:r w:rsidR="00CB6566" w:rsidRPr="00E3023F">
        <w:rPr>
          <w:lang w:val="pt-PT"/>
        </w:rPr>
        <w:t>8</w:t>
      </w:r>
      <w:r w:rsidRPr="00E3023F">
        <w:rPr>
          <w:lang w:val="pt-PT"/>
        </w:rPr>
        <w:t>.</w:t>
      </w:r>
    </w:p>
    <w:p w14:paraId="0B342D90" w14:textId="476F2080" w:rsidR="00BF56C6" w:rsidRPr="00E3023F" w:rsidRDefault="00BF56C6" w:rsidP="00D51565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lang w:val="pt-PT"/>
        </w:rPr>
      </w:pPr>
      <w:r w:rsidRPr="00E3023F">
        <w:rPr>
          <w:lang w:val="pt-PT"/>
        </w:rPr>
        <w:lastRenderedPageBreak/>
        <w:t xml:space="preserve"> </w:t>
      </w:r>
      <w:r w:rsidR="003668CE" w:rsidRPr="00E3023F">
        <w:rPr>
          <w:lang w:val="pt-PT"/>
        </w:rPr>
        <w:t>N</w:t>
      </w:r>
      <w:r w:rsidRPr="00E3023F">
        <w:rPr>
          <w:lang w:val="pt-PT"/>
        </w:rPr>
        <w:t xml:space="preserve">os contratos de abertura da conta fiduciária </w:t>
      </w:r>
      <w:r w:rsidR="003668CE" w:rsidRPr="00E3023F">
        <w:rPr>
          <w:lang w:val="pt-PT"/>
        </w:rPr>
        <w:t xml:space="preserve">deve constar </w:t>
      </w:r>
      <w:r w:rsidRPr="00E3023F">
        <w:rPr>
          <w:lang w:val="pt-PT"/>
        </w:rPr>
        <w:t xml:space="preserve">que os portadores de moeda electrónica são os </w:t>
      </w:r>
      <w:r w:rsidR="00CB6524" w:rsidRPr="00E3023F">
        <w:rPr>
          <w:lang w:val="pt-PT"/>
        </w:rPr>
        <w:t>legítimos</w:t>
      </w:r>
      <w:r w:rsidRPr="00E3023F">
        <w:rPr>
          <w:lang w:val="pt-PT"/>
        </w:rPr>
        <w:t xml:space="preserve"> </w:t>
      </w:r>
      <w:r w:rsidR="003668CE" w:rsidRPr="00E3023F">
        <w:rPr>
          <w:lang w:val="pt-PT"/>
        </w:rPr>
        <w:t xml:space="preserve">titulares </w:t>
      </w:r>
      <w:r w:rsidRPr="00E3023F">
        <w:rPr>
          <w:lang w:val="pt-PT"/>
        </w:rPr>
        <w:t>dos fundos depositados nessa conta.</w:t>
      </w:r>
    </w:p>
    <w:p w14:paraId="7CADB0FC" w14:textId="7149A587" w:rsidR="00BF56C6" w:rsidRPr="00674EF0" w:rsidRDefault="00BF56C6" w:rsidP="00D51565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lang w:val="pt-PT"/>
        </w:rPr>
      </w:pPr>
      <w:r w:rsidRPr="00674EF0">
        <w:rPr>
          <w:lang w:val="pt-PT"/>
        </w:rPr>
        <w:t>As</w:t>
      </w:r>
      <w:r w:rsidR="00CB6524" w:rsidRPr="00674EF0">
        <w:rPr>
          <w:lang w:val="pt-PT"/>
        </w:rPr>
        <w:t xml:space="preserve"> </w:t>
      </w:r>
      <w:r w:rsidRPr="00674EF0">
        <w:rPr>
          <w:lang w:val="pt-PT"/>
        </w:rPr>
        <w:t>instituições de moeda electrónica devem assegurar a todo o momento</w:t>
      </w:r>
      <w:r w:rsidR="00CB6566" w:rsidRPr="00674EF0">
        <w:rPr>
          <w:lang w:val="pt-PT"/>
        </w:rPr>
        <w:t xml:space="preserve"> </w:t>
      </w:r>
      <w:r w:rsidRPr="00674EF0">
        <w:rPr>
          <w:lang w:val="pt-PT"/>
        </w:rPr>
        <w:t>que o montante dos fundos depositados na conta fiduciária, deduzido o montante devido aos beneficiários de moeda electrónica e as comissões e encargos bancários associados à movimentação da conta fiduciária, seja igual ao saldo da moeda electrónica detida pelos portadores (moeda electrónica não utilizada).</w:t>
      </w:r>
    </w:p>
    <w:p w14:paraId="741E40EA" w14:textId="77777777" w:rsidR="002025C8" w:rsidRPr="00E3023F" w:rsidRDefault="00BF56C6" w:rsidP="00D51565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b/>
          <w:bCs/>
          <w:lang w:val="pt-PT"/>
        </w:rPr>
      </w:pPr>
      <w:r w:rsidRPr="00E3023F">
        <w:rPr>
          <w:lang w:val="pt-PT"/>
        </w:rPr>
        <w:t xml:space="preserve">As instituições de moeda electrónica devem efectuar a reconciliação contabilística diária entre os movimentos da conta </w:t>
      </w:r>
      <w:r w:rsidR="00CB6524" w:rsidRPr="00E3023F">
        <w:rPr>
          <w:lang w:val="pt-PT"/>
        </w:rPr>
        <w:t>fiduciária</w:t>
      </w:r>
      <w:r w:rsidRPr="00E3023F">
        <w:rPr>
          <w:lang w:val="pt-PT"/>
        </w:rPr>
        <w:t xml:space="preserve"> e as transacções sobre a moeda </w:t>
      </w:r>
      <w:r w:rsidR="00CB6524" w:rsidRPr="00E3023F">
        <w:rPr>
          <w:lang w:val="pt-PT"/>
        </w:rPr>
        <w:t>e</w:t>
      </w:r>
      <w:r w:rsidRPr="00E3023F">
        <w:rPr>
          <w:lang w:val="pt-PT"/>
        </w:rPr>
        <w:t>lectr</w:t>
      </w:r>
      <w:r w:rsidR="00CB6524" w:rsidRPr="00E3023F">
        <w:rPr>
          <w:lang w:val="pt-PT"/>
        </w:rPr>
        <w:t>ó</w:t>
      </w:r>
      <w:r w:rsidRPr="00E3023F">
        <w:rPr>
          <w:lang w:val="pt-PT"/>
        </w:rPr>
        <w:t xml:space="preserve">nica emitida. </w:t>
      </w:r>
    </w:p>
    <w:p w14:paraId="07C693AA" w14:textId="397800CC" w:rsidR="002025C8" w:rsidRPr="00674EF0" w:rsidRDefault="002025C8" w:rsidP="00D51565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b/>
          <w:bCs/>
          <w:lang w:val="pt-PT"/>
        </w:rPr>
      </w:pPr>
      <w:r w:rsidRPr="00674EF0">
        <w:rPr>
          <w:b/>
          <w:bCs/>
          <w:lang w:val="pt-PT"/>
        </w:rPr>
        <w:t xml:space="preserve">A conta fiduciária deve possuir uma classificação e identificação específica das demais contas bancárias, </w:t>
      </w:r>
      <w:r w:rsidR="002413E6" w:rsidRPr="00674EF0">
        <w:rPr>
          <w:b/>
          <w:bCs/>
          <w:lang w:val="pt-PT"/>
        </w:rPr>
        <w:t>designadamente</w:t>
      </w:r>
      <w:r w:rsidRPr="00674EF0">
        <w:rPr>
          <w:b/>
          <w:bCs/>
          <w:lang w:val="pt-PT"/>
        </w:rPr>
        <w:t xml:space="preserve"> a denominação, conta fiduciária – </w:t>
      </w:r>
      <w:r w:rsidRPr="00674EF0">
        <w:rPr>
          <w:b/>
          <w:bCs/>
          <w:i/>
          <w:iCs/>
          <w:lang w:val="pt-PT"/>
        </w:rPr>
        <w:t>nome da instituição de moeda electrónica que procedeu a abertura</w:t>
      </w:r>
      <w:r w:rsidRPr="00674EF0">
        <w:rPr>
          <w:b/>
          <w:bCs/>
          <w:lang w:val="pt-PT"/>
        </w:rPr>
        <w:t>.</w:t>
      </w:r>
    </w:p>
    <w:p w14:paraId="6C803F65" w14:textId="573B70BC" w:rsidR="002025C8" w:rsidRPr="00674EF0" w:rsidRDefault="002025C8" w:rsidP="00D51565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b/>
          <w:bCs/>
          <w:lang w:val="pt-PT"/>
        </w:rPr>
      </w:pPr>
      <w:r w:rsidRPr="00674EF0">
        <w:rPr>
          <w:b/>
          <w:bCs/>
          <w:lang w:val="pt-PT"/>
        </w:rPr>
        <w:t xml:space="preserve">As instituições de moeda electrónica devem submeter ao Banco de Moçambique os termos e condições de abertura e manutenção da conta fiduciária acordados com o </w:t>
      </w:r>
      <w:r w:rsidR="00536FFB" w:rsidRPr="00674EF0">
        <w:rPr>
          <w:b/>
          <w:bCs/>
          <w:lang w:val="pt-PT"/>
        </w:rPr>
        <w:t xml:space="preserve">respectivo </w:t>
      </w:r>
      <w:r w:rsidRPr="00674EF0">
        <w:rPr>
          <w:b/>
          <w:bCs/>
          <w:lang w:val="pt-PT"/>
        </w:rPr>
        <w:t>banco domiciliário.</w:t>
      </w:r>
    </w:p>
    <w:p w14:paraId="681B8386" w14:textId="05D79680" w:rsidR="002025C8" w:rsidRPr="00E3023F" w:rsidRDefault="002025C8" w:rsidP="00D51565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b/>
          <w:lang w:val="pt-PT"/>
        </w:rPr>
      </w:pPr>
      <w:r w:rsidRPr="00E3023F">
        <w:rPr>
          <w:b/>
          <w:lang w:val="pt-PT"/>
        </w:rPr>
        <w:t xml:space="preserve">As instituições de moeda electrónica devem autorizar os bancos de domicílio das contas fiduciárias a prover ao Banco de Moçambique, o acesso, em tempo real, à informação sobre os saldos, extractos e movimentos das referidas contas, não devendo ser </w:t>
      </w:r>
      <w:r w:rsidR="00095AEE" w:rsidRPr="00E3023F">
        <w:rPr>
          <w:b/>
          <w:lang w:val="pt-PT"/>
        </w:rPr>
        <w:t xml:space="preserve"> concedida</w:t>
      </w:r>
      <w:r w:rsidR="003C724E" w:rsidRPr="00E3023F">
        <w:rPr>
          <w:b/>
          <w:lang w:val="pt-PT"/>
        </w:rPr>
        <w:t xml:space="preserve"> </w:t>
      </w:r>
      <w:r w:rsidRPr="00E3023F">
        <w:rPr>
          <w:b/>
          <w:lang w:val="pt-PT"/>
        </w:rPr>
        <w:t>qualquer permissão para movimentação ou alteração de qualquer dado existente nas referidas contas</w:t>
      </w:r>
      <w:r w:rsidR="00CB6566" w:rsidRPr="00E3023F">
        <w:rPr>
          <w:b/>
          <w:lang w:val="pt-PT"/>
        </w:rPr>
        <w:t>.</w:t>
      </w:r>
    </w:p>
    <w:p w14:paraId="341E2F10" w14:textId="77777777" w:rsidR="002025C8" w:rsidRPr="00E3023F" w:rsidRDefault="002025C8" w:rsidP="00D51565">
      <w:pPr>
        <w:spacing w:line="360" w:lineRule="auto"/>
        <w:jc w:val="both"/>
        <w:rPr>
          <w:color w:val="auto"/>
          <w:lang w:val="pt-PT"/>
        </w:rPr>
      </w:pPr>
    </w:p>
    <w:p w14:paraId="3DC3055D" w14:textId="29BAF28F" w:rsidR="00BF56C6" w:rsidRPr="00E3023F" w:rsidRDefault="00CB6524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</w:t>
      </w:r>
      <w:r w:rsidR="00BF56C6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7</w:t>
      </w:r>
    </w:p>
    <w:p w14:paraId="7DB18A10" w14:textId="77777777" w:rsidR="00BF56C6" w:rsidRPr="00E3023F" w:rsidRDefault="00BF56C6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Movimentação da conta fiduciária</w:t>
      </w:r>
    </w:p>
    <w:p w14:paraId="5AA4171A" w14:textId="1E7699D9" w:rsidR="00BF56C6" w:rsidRPr="00E3023F" w:rsidRDefault="00BF56C6" w:rsidP="00D51565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lang w:val="pt-PT"/>
        </w:rPr>
      </w:pPr>
      <w:r w:rsidRPr="00E3023F">
        <w:rPr>
          <w:lang w:val="pt-PT"/>
        </w:rPr>
        <w:t xml:space="preserve">A conta fiduciária é movimentada a crédito pelos fundos recebidos em troca de moeda electrónica, a débito em resultado de pagamentos aos </w:t>
      </w:r>
      <w:r w:rsidR="00CB6524" w:rsidRPr="00E3023F">
        <w:rPr>
          <w:lang w:val="pt-PT"/>
        </w:rPr>
        <w:t>beneficiários</w:t>
      </w:r>
      <w:r w:rsidRPr="00E3023F">
        <w:rPr>
          <w:lang w:val="pt-PT"/>
        </w:rPr>
        <w:t xml:space="preserve">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, reembolso aos portadores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e pelas </w:t>
      </w:r>
      <w:r w:rsidR="00CB6524" w:rsidRPr="00E3023F">
        <w:rPr>
          <w:lang w:val="pt-PT"/>
        </w:rPr>
        <w:t>comissões</w:t>
      </w:r>
      <w:r w:rsidRPr="00E3023F">
        <w:rPr>
          <w:lang w:val="pt-PT"/>
        </w:rPr>
        <w:t xml:space="preserve"> e encargos </w:t>
      </w:r>
      <w:r w:rsidR="00CB6524" w:rsidRPr="00E3023F">
        <w:rPr>
          <w:lang w:val="pt-PT"/>
        </w:rPr>
        <w:t>bancários</w:t>
      </w:r>
      <w:r w:rsidRPr="00E3023F">
        <w:rPr>
          <w:lang w:val="pt-PT"/>
        </w:rPr>
        <w:t xml:space="preserve"> associados a movimenta</w:t>
      </w:r>
      <w:r w:rsidR="00CB6524" w:rsidRPr="00E3023F">
        <w:rPr>
          <w:lang w:val="pt-PT"/>
        </w:rPr>
        <w:t>ção</w:t>
      </w:r>
      <w:r w:rsidRPr="00E3023F">
        <w:rPr>
          <w:lang w:val="pt-PT"/>
        </w:rPr>
        <w:t xml:space="preserve"> da conta </w:t>
      </w:r>
      <w:r w:rsidR="00CB6524" w:rsidRPr="00E3023F">
        <w:rPr>
          <w:lang w:val="pt-PT"/>
        </w:rPr>
        <w:t>fiduciária</w:t>
      </w:r>
      <w:r w:rsidRPr="00E3023F">
        <w:rPr>
          <w:lang w:val="pt-PT"/>
        </w:rPr>
        <w:t>.</w:t>
      </w:r>
    </w:p>
    <w:p w14:paraId="3896B4AE" w14:textId="205FCDC3" w:rsidR="00CB6566" w:rsidRPr="00E3023F" w:rsidRDefault="00BF56C6" w:rsidP="00D51565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b/>
          <w:bCs/>
          <w:lang w:val="pt-PT"/>
        </w:rPr>
      </w:pPr>
      <w:r w:rsidRPr="00674EF0">
        <w:rPr>
          <w:lang w:val="pt-PT"/>
        </w:rPr>
        <w:t xml:space="preserve">As </w:t>
      </w:r>
      <w:r w:rsidR="00CB6524" w:rsidRPr="00674EF0">
        <w:rPr>
          <w:lang w:val="pt-PT"/>
        </w:rPr>
        <w:t>comissões</w:t>
      </w:r>
      <w:r w:rsidRPr="00674EF0">
        <w:rPr>
          <w:lang w:val="pt-PT"/>
        </w:rPr>
        <w:t xml:space="preserve"> e encargos </w:t>
      </w:r>
      <w:r w:rsidR="00CB6524" w:rsidRPr="00674EF0">
        <w:rPr>
          <w:lang w:val="pt-PT"/>
        </w:rPr>
        <w:t>bancários</w:t>
      </w:r>
      <w:r w:rsidRPr="00674EF0">
        <w:rPr>
          <w:lang w:val="pt-PT"/>
        </w:rPr>
        <w:t xml:space="preserve"> referidos no </w:t>
      </w:r>
      <w:r w:rsidR="00CB6524" w:rsidRPr="00674EF0">
        <w:rPr>
          <w:lang w:val="pt-PT"/>
        </w:rPr>
        <w:t>número</w:t>
      </w:r>
      <w:r w:rsidRPr="00674EF0">
        <w:rPr>
          <w:lang w:val="pt-PT"/>
        </w:rPr>
        <w:t xml:space="preserve"> anterior constituem despesas para as instituições de moeda </w:t>
      </w:r>
      <w:r w:rsidR="00CB6524" w:rsidRPr="00674EF0">
        <w:rPr>
          <w:lang w:val="pt-PT"/>
        </w:rPr>
        <w:t>electrónica</w:t>
      </w:r>
      <w:r w:rsidRPr="00674EF0">
        <w:rPr>
          <w:lang w:val="pt-PT"/>
        </w:rPr>
        <w:t xml:space="preserve">, devendo estas provisionar a conta </w:t>
      </w:r>
      <w:r w:rsidR="00CB6524" w:rsidRPr="00674EF0">
        <w:rPr>
          <w:lang w:val="pt-PT"/>
        </w:rPr>
        <w:t>fiduciária</w:t>
      </w:r>
      <w:r w:rsidRPr="00674EF0">
        <w:rPr>
          <w:lang w:val="pt-PT"/>
        </w:rPr>
        <w:t xml:space="preserve"> pelo respectivo montante</w:t>
      </w:r>
      <w:r w:rsidRPr="00E3023F">
        <w:rPr>
          <w:b/>
          <w:bCs/>
          <w:lang w:val="pt-PT"/>
        </w:rPr>
        <w:t xml:space="preserve"> no final</w:t>
      </w:r>
      <w:r w:rsidR="00095AEE" w:rsidRPr="00E3023F">
        <w:rPr>
          <w:b/>
          <w:bCs/>
          <w:lang w:val="pt-PT"/>
        </w:rPr>
        <w:t xml:space="preserve"> do dia útil seguinte ao da dedução dos mesmos na conta fiduciária</w:t>
      </w:r>
      <w:r w:rsidRPr="00E3023F">
        <w:rPr>
          <w:b/>
          <w:bCs/>
          <w:lang w:val="pt-PT"/>
        </w:rPr>
        <w:t>.</w:t>
      </w:r>
    </w:p>
    <w:p w14:paraId="25CA5F05" w14:textId="69B49F03" w:rsidR="00536FFB" w:rsidRPr="00E3023F" w:rsidRDefault="00BF56C6" w:rsidP="00D51565">
      <w:pPr>
        <w:pStyle w:val="ListParagraph"/>
        <w:numPr>
          <w:ilvl w:val="0"/>
          <w:numId w:val="15"/>
        </w:numPr>
        <w:spacing w:line="360" w:lineRule="auto"/>
        <w:ind w:left="284" w:hanging="284"/>
        <w:jc w:val="both"/>
        <w:rPr>
          <w:b/>
          <w:bCs/>
          <w:lang w:val="pt-PT"/>
        </w:rPr>
      </w:pPr>
      <w:r w:rsidRPr="00E3023F">
        <w:rPr>
          <w:lang w:val="pt-PT"/>
        </w:rPr>
        <w:t>Na realiza</w:t>
      </w:r>
      <w:r w:rsidR="00CB6524" w:rsidRPr="00E3023F">
        <w:rPr>
          <w:lang w:val="pt-PT"/>
        </w:rPr>
        <w:t>ção</w:t>
      </w:r>
      <w:r w:rsidRPr="00E3023F">
        <w:rPr>
          <w:lang w:val="pt-PT"/>
        </w:rPr>
        <w:t xml:space="preserve"> de pagamentos aos </w:t>
      </w:r>
      <w:r w:rsidR="00CB6524" w:rsidRPr="00E3023F">
        <w:rPr>
          <w:lang w:val="pt-PT"/>
        </w:rPr>
        <w:t>beneficiários</w:t>
      </w:r>
      <w:r w:rsidRPr="00E3023F">
        <w:rPr>
          <w:lang w:val="pt-PT"/>
        </w:rPr>
        <w:t xml:space="preserve">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referidos no n</w:t>
      </w:r>
      <w:r w:rsidR="002025C8" w:rsidRPr="00E3023F">
        <w:rPr>
          <w:lang w:val="pt-PT"/>
        </w:rPr>
        <w:t xml:space="preserve">úmero </w:t>
      </w:r>
      <w:r w:rsidRPr="00E3023F">
        <w:rPr>
          <w:lang w:val="pt-PT"/>
        </w:rPr>
        <w:t>1, as institui</w:t>
      </w:r>
      <w:r w:rsidR="00CB6524" w:rsidRPr="00E3023F">
        <w:rPr>
          <w:lang w:val="pt-PT"/>
        </w:rPr>
        <w:t xml:space="preserve">ções </w:t>
      </w:r>
      <w:r w:rsidRPr="00E3023F">
        <w:rPr>
          <w:lang w:val="pt-PT"/>
        </w:rPr>
        <w:t xml:space="preserve">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devem privilegiar o uso de instrumentos de </w:t>
      </w:r>
      <w:r w:rsidRPr="00E3023F">
        <w:rPr>
          <w:lang w:val="pt-PT"/>
        </w:rPr>
        <w:lastRenderedPageBreak/>
        <w:t xml:space="preserve">pagamento </w:t>
      </w:r>
      <w:r w:rsidR="00CB6524" w:rsidRPr="00E3023F">
        <w:rPr>
          <w:lang w:val="pt-PT"/>
        </w:rPr>
        <w:t>electrónico</w:t>
      </w:r>
      <w:r w:rsidRPr="00E3023F">
        <w:rPr>
          <w:lang w:val="pt-PT"/>
        </w:rPr>
        <w:t xml:space="preserve">, nomeadamente as </w:t>
      </w:r>
      <w:r w:rsidR="00CB6524" w:rsidRPr="00E3023F">
        <w:rPr>
          <w:lang w:val="pt-PT"/>
        </w:rPr>
        <w:t>transferências</w:t>
      </w:r>
      <w:r w:rsidRPr="00E3023F">
        <w:rPr>
          <w:lang w:val="pt-PT"/>
        </w:rPr>
        <w:t xml:space="preserve"> </w:t>
      </w:r>
      <w:r w:rsidR="00CB6524" w:rsidRPr="00E3023F">
        <w:rPr>
          <w:lang w:val="pt-PT"/>
        </w:rPr>
        <w:t>e</w:t>
      </w:r>
      <w:r w:rsidRPr="00E3023F">
        <w:rPr>
          <w:lang w:val="pt-PT"/>
        </w:rPr>
        <w:t>lectr</w:t>
      </w:r>
      <w:r w:rsidR="00CB6524" w:rsidRPr="00E3023F">
        <w:rPr>
          <w:lang w:val="pt-PT"/>
        </w:rPr>
        <w:t>ó</w:t>
      </w:r>
      <w:r w:rsidRPr="00E3023F">
        <w:rPr>
          <w:lang w:val="pt-PT"/>
        </w:rPr>
        <w:t>nicas.</w:t>
      </w:r>
      <w:r w:rsidRPr="00E3023F">
        <w:rPr>
          <w:b/>
          <w:bCs/>
          <w:lang w:val="pt-PT"/>
        </w:rPr>
        <w:t xml:space="preserve"> </w:t>
      </w:r>
      <w:r w:rsidRPr="00E3023F">
        <w:rPr>
          <w:b/>
          <w:bCs/>
          <w:lang w:val="pt-PT"/>
        </w:rPr>
        <w:cr/>
      </w:r>
    </w:p>
    <w:p w14:paraId="1891FCB7" w14:textId="13F6F011" w:rsidR="00BF56C6" w:rsidRPr="00E3023F" w:rsidRDefault="00CB6524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Artigo</w:t>
      </w:r>
      <w:r w:rsidR="00BF56C6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8</w:t>
      </w:r>
    </w:p>
    <w:p w14:paraId="020CB30F" w14:textId="41EEFB96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Limites </w:t>
      </w:r>
      <w:r w:rsidR="00CB6524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à</w:t>
      </w: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concentração de </w:t>
      </w:r>
      <w:r w:rsidR="00CB6524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depósito</w:t>
      </w: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de fundos nas contas</w:t>
      </w:r>
      <w:r w:rsidR="00CB6524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fiduciárias</w:t>
      </w:r>
    </w:p>
    <w:p w14:paraId="27BEDFFF" w14:textId="6692397E" w:rsidR="00BF56C6" w:rsidRPr="00E3023F" w:rsidRDefault="00BF56C6" w:rsidP="00BF56C6">
      <w:pPr>
        <w:pStyle w:val="ListParagraph"/>
        <w:numPr>
          <w:ilvl w:val="0"/>
          <w:numId w:val="9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>As institui</w:t>
      </w:r>
      <w:r w:rsidR="00CB6524" w:rsidRPr="00E3023F">
        <w:rPr>
          <w:lang w:val="pt-PT"/>
        </w:rPr>
        <w:t>ções</w:t>
      </w:r>
      <w:r w:rsidRPr="00E3023F">
        <w:rPr>
          <w:lang w:val="pt-PT"/>
        </w:rPr>
        <w:t xml:space="preserve"> de moeda </w:t>
      </w:r>
      <w:r w:rsidR="00CB6524" w:rsidRPr="00E3023F">
        <w:rPr>
          <w:lang w:val="pt-PT"/>
        </w:rPr>
        <w:t>e</w:t>
      </w:r>
      <w:r w:rsidRPr="00E3023F">
        <w:rPr>
          <w:lang w:val="pt-PT"/>
        </w:rPr>
        <w:t>lectr</w:t>
      </w:r>
      <w:r w:rsidR="00CB6524" w:rsidRPr="00E3023F">
        <w:rPr>
          <w:lang w:val="pt-PT"/>
        </w:rPr>
        <w:t>ó</w:t>
      </w:r>
      <w:r w:rsidRPr="00E3023F">
        <w:rPr>
          <w:lang w:val="pt-PT"/>
        </w:rPr>
        <w:t>nica podem depositar</w:t>
      </w:r>
      <w:r w:rsidR="00D80468">
        <w:rPr>
          <w:lang w:val="pt-PT"/>
        </w:rPr>
        <w:t xml:space="preserve"> </w:t>
      </w:r>
      <w:r w:rsidR="00D80468" w:rsidRPr="00E3023F">
        <w:rPr>
          <w:lang w:val="pt-PT"/>
        </w:rPr>
        <w:t xml:space="preserve">num único </w:t>
      </w:r>
      <w:r w:rsidR="00D80468" w:rsidRPr="00CD78DA">
        <w:rPr>
          <w:b/>
          <w:bCs/>
          <w:lang w:val="pt-PT"/>
        </w:rPr>
        <w:t>banco</w:t>
      </w:r>
      <w:r w:rsidR="00D80468">
        <w:rPr>
          <w:lang w:val="pt-PT"/>
        </w:rPr>
        <w:t xml:space="preserve">, </w:t>
      </w:r>
      <w:r w:rsidR="00D80468" w:rsidRPr="00E3023F">
        <w:rPr>
          <w:lang w:val="pt-PT"/>
        </w:rPr>
        <w:t>até ao equivalente ao seu capital mínimo</w:t>
      </w:r>
      <w:r w:rsidR="00D80468">
        <w:rPr>
          <w:lang w:val="pt-PT"/>
        </w:rPr>
        <w:t>,</w:t>
      </w:r>
      <w:r w:rsidRPr="00E3023F">
        <w:rPr>
          <w:lang w:val="pt-PT"/>
        </w:rPr>
        <w:t xml:space="preserve"> a totalidade dos fundos recebidos dos clientes em troca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>.</w:t>
      </w:r>
    </w:p>
    <w:p w14:paraId="3BD9C2B5" w14:textId="06B80CD6" w:rsidR="00BF56C6" w:rsidRPr="00E3023F" w:rsidRDefault="00BF56C6" w:rsidP="00BF56C6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lang w:val="pt-PT"/>
        </w:rPr>
      </w:pPr>
      <w:r w:rsidRPr="003A7752">
        <w:rPr>
          <w:lang w:val="pt-PT"/>
        </w:rPr>
        <w:t xml:space="preserve">Quando os fundos depositados na conta </w:t>
      </w:r>
      <w:r w:rsidR="00CB6524" w:rsidRPr="003A7752">
        <w:rPr>
          <w:lang w:val="pt-PT"/>
        </w:rPr>
        <w:t>fiduciária</w:t>
      </w:r>
      <w:r w:rsidRPr="003A7752">
        <w:rPr>
          <w:lang w:val="pt-PT"/>
        </w:rPr>
        <w:t xml:space="preserve"> sejam superiores ao capital</w:t>
      </w:r>
      <w:r w:rsidR="00CB6566" w:rsidRPr="003A7752">
        <w:rPr>
          <w:lang w:val="pt-PT"/>
        </w:rPr>
        <w:t xml:space="preserve"> </w:t>
      </w:r>
      <w:r w:rsidR="00CB6524" w:rsidRPr="003A7752">
        <w:rPr>
          <w:lang w:val="pt-PT"/>
        </w:rPr>
        <w:t>mínimo</w:t>
      </w:r>
      <w:r w:rsidRPr="003A7752">
        <w:rPr>
          <w:lang w:val="pt-PT"/>
        </w:rPr>
        <w:t xml:space="preserve"> referido no </w:t>
      </w:r>
      <w:r w:rsidR="00CB6524" w:rsidRPr="003A7752">
        <w:rPr>
          <w:lang w:val="pt-PT"/>
        </w:rPr>
        <w:t>número</w:t>
      </w:r>
      <w:r w:rsidRPr="003A7752">
        <w:rPr>
          <w:lang w:val="pt-PT"/>
        </w:rPr>
        <w:t xml:space="preserve"> anterior, as institui</w:t>
      </w:r>
      <w:r w:rsidR="00CB6524" w:rsidRPr="003A7752">
        <w:rPr>
          <w:lang w:val="pt-PT"/>
        </w:rPr>
        <w:t>ções</w:t>
      </w:r>
      <w:r w:rsidRPr="003A7752">
        <w:rPr>
          <w:lang w:val="pt-PT"/>
        </w:rPr>
        <w:t xml:space="preserve"> de moeda </w:t>
      </w:r>
      <w:r w:rsidR="00CB6524" w:rsidRPr="003A7752">
        <w:rPr>
          <w:lang w:val="pt-PT"/>
        </w:rPr>
        <w:t>electrónica</w:t>
      </w:r>
      <w:r w:rsidRPr="003A7752">
        <w:rPr>
          <w:lang w:val="pt-PT"/>
        </w:rPr>
        <w:t xml:space="preserve"> devem </w:t>
      </w:r>
      <w:r w:rsidR="00CB6524" w:rsidRPr="003A7752">
        <w:rPr>
          <w:lang w:val="pt-PT"/>
        </w:rPr>
        <w:t>depositá-los</w:t>
      </w:r>
      <w:r w:rsidRPr="003A7752">
        <w:rPr>
          <w:lang w:val="pt-PT"/>
        </w:rPr>
        <w:t xml:space="preserve"> em mais de um</w:t>
      </w:r>
      <w:r w:rsidR="002025C8" w:rsidRPr="003A7752">
        <w:rPr>
          <w:lang w:val="pt-PT"/>
        </w:rPr>
        <w:t xml:space="preserve"> </w:t>
      </w:r>
      <w:r w:rsidR="002025C8" w:rsidRPr="00D80468">
        <w:rPr>
          <w:b/>
          <w:bCs/>
          <w:lang w:val="pt-PT"/>
        </w:rPr>
        <w:t>banco</w:t>
      </w:r>
      <w:r w:rsidRPr="003A7752">
        <w:rPr>
          <w:lang w:val="pt-PT"/>
        </w:rPr>
        <w:t xml:space="preserve"> até ao limite de 25%</w:t>
      </w:r>
      <w:r w:rsidRPr="00E3023F">
        <w:rPr>
          <w:b/>
          <w:bCs/>
          <w:lang w:val="pt-PT"/>
        </w:rPr>
        <w:t xml:space="preserve"> </w:t>
      </w:r>
      <w:r w:rsidR="002025C8" w:rsidRPr="00E3023F">
        <w:rPr>
          <w:b/>
          <w:bCs/>
          <w:lang w:val="pt-PT"/>
        </w:rPr>
        <w:t>do valor total recebido em troca de moeda electrónica</w:t>
      </w:r>
      <w:r w:rsidRPr="00E3023F">
        <w:rPr>
          <w:b/>
          <w:bCs/>
          <w:lang w:val="pt-PT"/>
        </w:rPr>
        <w:t>.</w:t>
      </w:r>
    </w:p>
    <w:p w14:paraId="1F583943" w14:textId="5C17145D" w:rsidR="00BF56C6" w:rsidRPr="00E3023F" w:rsidRDefault="00BF56C6" w:rsidP="00BF56C6">
      <w:pPr>
        <w:pStyle w:val="ListParagraph"/>
        <w:numPr>
          <w:ilvl w:val="0"/>
          <w:numId w:val="9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>Em circunstâncias excepcionais e mediante requerimento das instituições de moeda electrónica, devidamente fundamentado, o Banco de Moçambique pode autorizar</w:t>
      </w:r>
      <w:r w:rsidR="00D80468">
        <w:rPr>
          <w:lang w:val="pt-PT"/>
        </w:rPr>
        <w:t xml:space="preserve">, </w:t>
      </w:r>
      <w:r w:rsidR="00D80468" w:rsidRPr="00E3023F">
        <w:rPr>
          <w:lang w:val="pt-PT"/>
        </w:rPr>
        <w:t>nas condições e prazo que determinar</w:t>
      </w:r>
      <w:r w:rsidR="00D80468">
        <w:rPr>
          <w:lang w:val="pt-PT"/>
        </w:rPr>
        <w:t>,</w:t>
      </w:r>
      <w:r w:rsidRPr="00E3023F">
        <w:rPr>
          <w:lang w:val="pt-PT"/>
        </w:rPr>
        <w:t xml:space="preserve"> </w:t>
      </w:r>
      <w:r w:rsidR="00D80468">
        <w:rPr>
          <w:lang w:val="pt-PT"/>
        </w:rPr>
        <w:t xml:space="preserve">a </w:t>
      </w:r>
      <w:r w:rsidR="00D80468" w:rsidRPr="00D80468">
        <w:rPr>
          <w:b/>
          <w:bCs/>
          <w:lang w:val="pt-PT"/>
        </w:rPr>
        <w:t xml:space="preserve">ultrapassagem </w:t>
      </w:r>
      <w:r w:rsidR="00D80468">
        <w:rPr>
          <w:lang w:val="pt-PT"/>
        </w:rPr>
        <w:t>d</w:t>
      </w:r>
      <w:r w:rsidRPr="00E3023F">
        <w:rPr>
          <w:lang w:val="pt-PT"/>
        </w:rPr>
        <w:t>o limite fixado no número anterior.</w:t>
      </w:r>
    </w:p>
    <w:p w14:paraId="5DF4696B" w14:textId="77777777" w:rsidR="00CB6566" w:rsidRPr="00E3023F" w:rsidRDefault="00CB656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5B647C7C" w14:textId="3A18A165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A</w:t>
      </w:r>
      <w:r w:rsidR="00CB6524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rtigo</w:t>
      </w: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9</w:t>
      </w:r>
    </w:p>
    <w:p w14:paraId="39089317" w14:textId="423E437D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Uso dos fundos e reembolso da moeda </w:t>
      </w:r>
      <w:r w:rsidR="00CB6524" w:rsidRPr="00E3023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  <w:t>electrónica</w:t>
      </w:r>
    </w:p>
    <w:p w14:paraId="0C81B336" w14:textId="4BB15D4B" w:rsidR="00BF56C6" w:rsidRPr="00E3023F" w:rsidRDefault="00BF56C6" w:rsidP="00CB6524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>As institui</w:t>
      </w:r>
      <w:r w:rsidR="00CB6524" w:rsidRPr="00E3023F">
        <w:rPr>
          <w:lang w:val="pt-PT"/>
        </w:rPr>
        <w:t>ções</w:t>
      </w:r>
      <w:r w:rsidRPr="00E3023F">
        <w:rPr>
          <w:lang w:val="pt-PT"/>
        </w:rPr>
        <w:t xml:space="preserve">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devem usar os fundos recebidos dos clientes em troca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para o reembolso ao seu portador, bem como para </w:t>
      </w:r>
      <w:r w:rsidR="00CB6566" w:rsidRPr="00E3023F">
        <w:rPr>
          <w:b/>
          <w:bCs/>
          <w:lang w:val="pt-PT"/>
        </w:rPr>
        <w:t xml:space="preserve">o </w:t>
      </w:r>
      <w:r w:rsidRPr="00E3023F">
        <w:rPr>
          <w:lang w:val="pt-PT"/>
        </w:rPr>
        <w:t>pagament</w:t>
      </w:r>
      <w:r w:rsidR="00CB6524" w:rsidRPr="00E3023F">
        <w:rPr>
          <w:lang w:val="pt-PT"/>
        </w:rPr>
        <w:t xml:space="preserve">o </w:t>
      </w:r>
      <w:r w:rsidRPr="00E3023F">
        <w:rPr>
          <w:lang w:val="pt-PT"/>
        </w:rPr>
        <w:t xml:space="preserve">aos </w:t>
      </w:r>
      <w:r w:rsidR="00CB6524" w:rsidRPr="00E3023F">
        <w:rPr>
          <w:lang w:val="pt-PT"/>
        </w:rPr>
        <w:t>beneficiários</w:t>
      </w:r>
      <w:r w:rsidRPr="00E3023F">
        <w:rPr>
          <w:lang w:val="pt-PT"/>
        </w:rPr>
        <w:t xml:space="preserve">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>.</w:t>
      </w:r>
    </w:p>
    <w:p w14:paraId="673085E2" w14:textId="5E16E623" w:rsidR="00BF56C6" w:rsidRPr="00E3023F" w:rsidRDefault="00BF56C6" w:rsidP="00CB6524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 xml:space="preserve">É proibido </w:t>
      </w:r>
      <w:r w:rsidR="00CB6524" w:rsidRPr="00E3023F">
        <w:rPr>
          <w:lang w:val="pt-PT"/>
        </w:rPr>
        <w:t>à</w:t>
      </w:r>
      <w:r w:rsidRPr="00E3023F">
        <w:rPr>
          <w:lang w:val="pt-PT"/>
        </w:rPr>
        <w:t>s institui</w:t>
      </w:r>
      <w:r w:rsidR="00CB6524" w:rsidRPr="00E3023F">
        <w:rPr>
          <w:lang w:val="pt-PT"/>
        </w:rPr>
        <w:t>ções</w:t>
      </w:r>
      <w:r w:rsidRPr="00E3023F">
        <w:rPr>
          <w:lang w:val="pt-PT"/>
        </w:rPr>
        <w:t xml:space="preserve">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usar os fundos referidos no </w:t>
      </w:r>
      <w:r w:rsidR="00CB6524" w:rsidRPr="00E3023F">
        <w:rPr>
          <w:lang w:val="pt-PT"/>
        </w:rPr>
        <w:t>número</w:t>
      </w:r>
      <w:r w:rsidRPr="00E3023F">
        <w:rPr>
          <w:lang w:val="pt-PT"/>
        </w:rPr>
        <w:t xml:space="preserve"> anterior para a constituição de garantias, financiamento de despesas de funcionamento</w:t>
      </w:r>
      <w:r w:rsidR="00CB6524" w:rsidRPr="00E3023F">
        <w:rPr>
          <w:lang w:val="pt-PT"/>
        </w:rPr>
        <w:t xml:space="preserve"> </w:t>
      </w:r>
      <w:r w:rsidRPr="00E3023F">
        <w:rPr>
          <w:lang w:val="pt-PT"/>
        </w:rPr>
        <w:t>e outros fins distintos dos indicados no n</w:t>
      </w:r>
      <w:r w:rsidR="00CB6524" w:rsidRPr="00E3023F">
        <w:rPr>
          <w:lang w:val="pt-PT"/>
        </w:rPr>
        <w:t>ú</w:t>
      </w:r>
      <w:r w:rsidRPr="00E3023F">
        <w:rPr>
          <w:lang w:val="pt-PT"/>
        </w:rPr>
        <w:t>mero anterior.</w:t>
      </w:r>
    </w:p>
    <w:p w14:paraId="1F5C1157" w14:textId="26B9F3B8" w:rsidR="00BF56C6" w:rsidRPr="00E3023F" w:rsidRDefault="00BF56C6" w:rsidP="00CB6524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pt-PT"/>
        </w:rPr>
      </w:pPr>
      <w:r w:rsidRPr="00E3023F">
        <w:rPr>
          <w:lang w:val="pt-PT"/>
        </w:rPr>
        <w:t>A pedido do portador, a institui</w:t>
      </w:r>
      <w:r w:rsidR="00CB6524" w:rsidRPr="00E3023F">
        <w:rPr>
          <w:lang w:val="pt-PT"/>
        </w:rPr>
        <w:t>ção</w:t>
      </w:r>
      <w:r w:rsidRPr="00E3023F">
        <w:rPr>
          <w:lang w:val="pt-PT"/>
        </w:rPr>
        <w:t xml:space="preserve">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deve reembolsar</w:t>
      </w:r>
      <w:r w:rsidR="00EB2774">
        <w:rPr>
          <w:lang w:val="pt-PT"/>
        </w:rPr>
        <w:t>,</w:t>
      </w:r>
      <w:r w:rsidRPr="00E3023F">
        <w:rPr>
          <w:lang w:val="pt-PT"/>
        </w:rPr>
        <w:t xml:space="preserve"> pelo valor nominal, em </w:t>
      </w:r>
      <w:r w:rsidR="00CB6524" w:rsidRPr="00E3023F">
        <w:rPr>
          <w:lang w:val="pt-PT"/>
        </w:rPr>
        <w:t>numerário</w:t>
      </w:r>
      <w:r w:rsidRPr="00E3023F">
        <w:rPr>
          <w:lang w:val="pt-PT"/>
        </w:rPr>
        <w:t xml:space="preserve"> ou por </w:t>
      </w:r>
      <w:r w:rsidR="00CB6524" w:rsidRPr="00E3023F">
        <w:rPr>
          <w:lang w:val="pt-PT"/>
        </w:rPr>
        <w:t>transferência</w:t>
      </w:r>
      <w:r w:rsidRPr="00E3023F">
        <w:rPr>
          <w:lang w:val="pt-PT"/>
        </w:rPr>
        <w:t xml:space="preserve"> </w:t>
      </w:r>
      <w:r w:rsidR="00CB6524" w:rsidRPr="00E3023F">
        <w:rPr>
          <w:lang w:val="pt-PT"/>
        </w:rPr>
        <w:t>bancária</w:t>
      </w:r>
      <w:r w:rsidRPr="00E3023F">
        <w:rPr>
          <w:lang w:val="pt-PT"/>
        </w:rPr>
        <w:t xml:space="preserve">, os fundos recebidos, sem quaisquer </w:t>
      </w:r>
      <w:r w:rsidR="00CB6524" w:rsidRPr="00E3023F">
        <w:rPr>
          <w:lang w:val="pt-PT"/>
        </w:rPr>
        <w:t>comissões</w:t>
      </w:r>
      <w:r w:rsidRPr="00E3023F">
        <w:rPr>
          <w:lang w:val="pt-PT"/>
        </w:rPr>
        <w:t xml:space="preserve"> e encargos que não os estritamente necessários </w:t>
      </w:r>
      <w:r w:rsidR="00EB2774">
        <w:rPr>
          <w:b/>
          <w:bCs/>
          <w:lang w:val="pt-PT"/>
        </w:rPr>
        <w:t>para a</w:t>
      </w:r>
      <w:r w:rsidRPr="00E3023F">
        <w:rPr>
          <w:lang w:val="pt-PT"/>
        </w:rPr>
        <w:t xml:space="preserve"> realiza</w:t>
      </w:r>
      <w:r w:rsidR="00CB6524" w:rsidRPr="00E3023F">
        <w:rPr>
          <w:lang w:val="pt-PT"/>
        </w:rPr>
        <w:t>ção</w:t>
      </w:r>
      <w:r w:rsidRPr="00E3023F">
        <w:rPr>
          <w:lang w:val="pt-PT"/>
        </w:rPr>
        <w:t xml:space="preserve"> dessa opera</w:t>
      </w:r>
      <w:r w:rsidR="00CB6524" w:rsidRPr="00E3023F">
        <w:rPr>
          <w:lang w:val="pt-PT"/>
        </w:rPr>
        <w:t>ção</w:t>
      </w:r>
      <w:r w:rsidRPr="00E3023F">
        <w:rPr>
          <w:lang w:val="pt-PT"/>
        </w:rPr>
        <w:t xml:space="preserve">. </w:t>
      </w:r>
    </w:p>
    <w:p w14:paraId="4700E849" w14:textId="77777777" w:rsidR="00BF56C6" w:rsidRPr="00E3023F" w:rsidRDefault="00BF56C6" w:rsidP="007C534B">
      <w:pPr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</w:p>
    <w:p w14:paraId="06FBBA62" w14:textId="2653324C" w:rsidR="007C534B" w:rsidRPr="00E3023F" w:rsidRDefault="007C534B" w:rsidP="00D5156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SECÇÃO II</w:t>
      </w:r>
    </w:p>
    <w:p w14:paraId="1A2571E8" w14:textId="77438BA5" w:rsidR="007C534B" w:rsidRPr="00E3023F" w:rsidRDefault="007C534B" w:rsidP="007C534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Conta de juros</w:t>
      </w:r>
    </w:p>
    <w:p w14:paraId="78C2097B" w14:textId="77777777" w:rsidR="007C534B" w:rsidRPr="00E3023F" w:rsidRDefault="007C534B" w:rsidP="00D5156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</w:p>
    <w:p w14:paraId="4A11E998" w14:textId="45BF13C9" w:rsidR="002025C8" w:rsidRPr="00E3023F" w:rsidRDefault="002025C8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10</w:t>
      </w:r>
    </w:p>
    <w:p w14:paraId="412800A9" w14:textId="1D53100F" w:rsidR="002025C8" w:rsidRPr="00E3023F" w:rsidRDefault="002025C8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lastRenderedPageBreak/>
        <w:t>Abertura e acesso à conta de juros</w:t>
      </w:r>
    </w:p>
    <w:p w14:paraId="0B78C194" w14:textId="71E9C46C" w:rsidR="002025C8" w:rsidRPr="00E3023F" w:rsidRDefault="002025C8" w:rsidP="00D51565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>As instituições de moeda electrónica devem</w:t>
      </w:r>
      <w:r w:rsidR="004837C3" w:rsidRPr="00E3023F">
        <w:rPr>
          <w:b/>
          <w:bCs/>
          <w:lang w:val="pt-PT"/>
        </w:rPr>
        <w:t xml:space="preserve"> instruir a</w:t>
      </w:r>
      <w:r w:rsidRPr="00E3023F">
        <w:rPr>
          <w:b/>
          <w:bCs/>
          <w:lang w:val="pt-PT"/>
        </w:rPr>
        <w:t xml:space="preserve"> ab</w:t>
      </w:r>
      <w:r w:rsidR="004837C3" w:rsidRPr="00E3023F">
        <w:rPr>
          <w:b/>
          <w:bCs/>
          <w:lang w:val="pt-PT"/>
        </w:rPr>
        <w:t>ertura d</w:t>
      </w:r>
      <w:r w:rsidR="00EB2774">
        <w:rPr>
          <w:b/>
          <w:bCs/>
          <w:lang w:val="pt-PT"/>
        </w:rPr>
        <w:t>a</w:t>
      </w:r>
      <w:r w:rsidRPr="00E3023F">
        <w:rPr>
          <w:b/>
          <w:bCs/>
          <w:lang w:val="pt-PT"/>
        </w:rPr>
        <w:t xml:space="preserve"> conta de juros associadas às contas fiduciárias</w:t>
      </w:r>
      <w:r w:rsidR="004837C3" w:rsidRPr="00E3023F">
        <w:rPr>
          <w:b/>
          <w:bCs/>
          <w:lang w:val="pt-PT"/>
        </w:rPr>
        <w:t>.</w:t>
      </w:r>
    </w:p>
    <w:p w14:paraId="32A6FBB2" w14:textId="6C45DE44" w:rsidR="002025C8" w:rsidRPr="00E3023F" w:rsidRDefault="002025C8" w:rsidP="00D51565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>A conta de juro</w:t>
      </w:r>
      <w:r w:rsidR="00CB6566" w:rsidRPr="00E3023F">
        <w:rPr>
          <w:b/>
          <w:bCs/>
          <w:lang w:val="pt-PT"/>
        </w:rPr>
        <w:t>s</w:t>
      </w:r>
      <w:r w:rsidRPr="00E3023F">
        <w:rPr>
          <w:b/>
          <w:bCs/>
          <w:lang w:val="pt-PT"/>
        </w:rPr>
        <w:t xml:space="preserve"> deve possuir uma classificação e identificação específica</w:t>
      </w:r>
      <w:r w:rsidR="00D84474" w:rsidRPr="00E3023F">
        <w:rPr>
          <w:b/>
          <w:bCs/>
          <w:lang w:val="pt-PT"/>
        </w:rPr>
        <w:t xml:space="preserve"> diferente</w:t>
      </w:r>
      <w:r w:rsidRPr="00E3023F">
        <w:rPr>
          <w:b/>
          <w:bCs/>
          <w:lang w:val="pt-PT"/>
        </w:rPr>
        <w:t xml:space="preserve"> das demais contas bancárias, tais como a denominação, conta de juros e a conta fiduciária associada.</w:t>
      </w:r>
    </w:p>
    <w:p w14:paraId="4B12A698" w14:textId="24E0B886" w:rsidR="002025C8" w:rsidRPr="00E3023F" w:rsidRDefault="002025C8" w:rsidP="00D51565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>As instituições de moeda electrónica devem autorizar os bancos de domicílio da</w:t>
      </w:r>
      <w:r w:rsidR="00EB2774">
        <w:rPr>
          <w:b/>
          <w:bCs/>
          <w:lang w:val="pt-PT"/>
        </w:rPr>
        <w:t xml:space="preserve"> </w:t>
      </w:r>
      <w:r w:rsidRPr="00E3023F">
        <w:rPr>
          <w:b/>
          <w:bCs/>
          <w:lang w:val="pt-PT"/>
        </w:rPr>
        <w:t>conta</w:t>
      </w:r>
      <w:r w:rsidR="00EB2774">
        <w:rPr>
          <w:b/>
          <w:bCs/>
          <w:lang w:val="pt-PT"/>
        </w:rPr>
        <w:t xml:space="preserve"> </w:t>
      </w:r>
      <w:r w:rsidRPr="00E3023F">
        <w:rPr>
          <w:b/>
          <w:bCs/>
          <w:lang w:val="pt-PT"/>
        </w:rPr>
        <w:t>de juros a prover ao Banco de Moçambique, o acesso, em tempo real, à informação sobre os saldos, extractos e movimentos das referidas contas, não devendo ser permitida qualquer movimentação ou alteração de qualquer dado existente nas referidas contas.</w:t>
      </w:r>
    </w:p>
    <w:p w14:paraId="258DE146" w14:textId="20DB7608" w:rsidR="002025C8" w:rsidRPr="00E3023F" w:rsidRDefault="002025C8" w:rsidP="00D51565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As </w:t>
      </w:r>
      <w:r w:rsidR="00FD7904" w:rsidRPr="00E3023F">
        <w:rPr>
          <w:b/>
          <w:bCs/>
          <w:lang w:val="pt-PT"/>
        </w:rPr>
        <w:t>instituições</w:t>
      </w:r>
      <w:r w:rsidRPr="00E3023F">
        <w:rPr>
          <w:b/>
          <w:bCs/>
          <w:lang w:val="pt-PT"/>
        </w:rPr>
        <w:t xml:space="preserve"> de moeda electrónica podem negociar os juros e outros ganhos relacionados à remuneração dos fundos depositados na conta fiduciária e </w:t>
      </w:r>
      <w:r w:rsidR="0084230D" w:rsidRPr="00E3023F">
        <w:rPr>
          <w:b/>
          <w:bCs/>
          <w:lang w:val="pt-PT"/>
        </w:rPr>
        <w:t xml:space="preserve">devem </w:t>
      </w:r>
      <w:r w:rsidRPr="00E3023F">
        <w:rPr>
          <w:b/>
          <w:bCs/>
          <w:lang w:val="pt-PT"/>
        </w:rPr>
        <w:t>submeter ao Banco de Moçambique os termos e condições de remuneração acordados com</w:t>
      </w:r>
      <w:r w:rsidR="0084230D" w:rsidRPr="00E3023F">
        <w:rPr>
          <w:b/>
          <w:bCs/>
          <w:lang w:val="pt-PT"/>
        </w:rPr>
        <w:t xml:space="preserve"> o</w:t>
      </w:r>
      <w:r w:rsidRPr="00E3023F">
        <w:rPr>
          <w:b/>
          <w:bCs/>
          <w:lang w:val="pt-PT"/>
        </w:rPr>
        <w:t xml:space="preserve"> banco </w:t>
      </w:r>
      <w:r w:rsidR="0084230D" w:rsidRPr="00E3023F">
        <w:rPr>
          <w:b/>
          <w:bCs/>
          <w:lang w:val="pt-PT"/>
        </w:rPr>
        <w:t>domiciliário</w:t>
      </w:r>
      <w:r w:rsidRPr="00E3023F">
        <w:rPr>
          <w:b/>
          <w:bCs/>
          <w:lang w:val="pt-PT"/>
        </w:rPr>
        <w:t xml:space="preserve"> da conta fiduciária</w:t>
      </w:r>
      <w:r w:rsidR="00CB6566" w:rsidRPr="00E3023F">
        <w:rPr>
          <w:b/>
          <w:bCs/>
          <w:lang w:val="pt-PT"/>
        </w:rPr>
        <w:t>.</w:t>
      </w:r>
    </w:p>
    <w:p w14:paraId="4F07FBEB" w14:textId="77777777" w:rsidR="002025C8" w:rsidRPr="00E3023F" w:rsidRDefault="002025C8" w:rsidP="00D51565">
      <w:pPr>
        <w:pStyle w:val="ListParagraph"/>
        <w:spacing w:line="360" w:lineRule="auto"/>
        <w:jc w:val="both"/>
        <w:rPr>
          <w:lang w:val="pt-PT"/>
        </w:rPr>
      </w:pPr>
    </w:p>
    <w:p w14:paraId="005836C6" w14:textId="5618ACFE" w:rsidR="002025C8" w:rsidRPr="00E3023F" w:rsidRDefault="002025C8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</w:t>
      </w:r>
      <w:r w:rsidR="00FD7904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1</w:t>
      </w:r>
    </w:p>
    <w:p w14:paraId="5339F995" w14:textId="77777777" w:rsidR="002025C8" w:rsidRPr="00E3023F" w:rsidRDefault="002025C8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Movimentação da conta de juros</w:t>
      </w:r>
    </w:p>
    <w:p w14:paraId="1F03417F" w14:textId="1A7EC458" w:rsidR="002025C8" w:rsidRPr="00E3023F" w:rsidRDefault="002025C8" w:rsidP="00CB6566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 conta de juros é movimentada a crédito pela recepção de juros e outros ganhos decorrentes da remuneração dos fundos depositados na conta fiduciária associada e a débito</w:t>
      </w:r>
      <w:r w:rsidR="0002445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pela dedução de impostos</w:t>
      </w:r>
      <w:r w:rsidR="00EB2774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,</w:t>
      </w:r>
      <w:r w:rsidR="0002445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encargos </w:t>
      </w:r>
      <w:r w:rsidR="00EB2774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legalmente estabelecidos </w:t>
      </w:r>
      <w:r w:rsidR="0002445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e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pela distribuição dos juros</w:t>
      </w:r>
      <w:r w:rsidR="00FD7904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</w:t>
      </w:r>
      <w:r w:rsidR="00F37D81" w:rsidRPr="00785A8A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ao</w:t>
      </w:r>
      <w:r w:rsidR="00FD7904" w:rsidRPr="00785A8A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s </w:t>
      </w:r>
      <w:r w:rsidR="0002445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portadores</w:t>
      </w:r>
      <w:r w:rsidR="00CB6566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.</w:t>
      </w:r>
    </w:p>
    <w:p w14:paraId="27672C30" w14:textId="77777777" w:rsidR="00CB6566" w:rsidRPr="00E3023F" w:rsidRDefault="00CB6566" w:rsidP="00CB6566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36"/>
          <w:lang w:val="pt-PT"/>
        </w:rPr>
      </w:pPr>
    </w:p>
    <w:p w14:paraId="3CC55185" w14:textId="4D49B536" w:rsidR="00CB6566" w:rsidRPr="00E3023F" w:rsidRDefault="00CB6566" w:rsidP="00CB656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12</w:t>
      </w:r>
    </w:p>
    <w:p w14:paraId="19362854" w14:textId="4274C0EC" w:rsidR="00CB6566" w:rsidRPr="00E3023F" w:rsidRDefault="00CB6566" w:rsidP="00D51565">
      <w:pPr>
        <w:spacing w:line="360" w:lineRule="auto"/>
        <w:ind w:left="0" w:firstLine="0"/>
        <w:jc w:val="center"/>
        <w:rPr>
          <w:b/>
          <w:bCs/>
          <w:color w:val="auto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Distribuição e finalidade dos juros da conta fiduciária</w:t>
      </w:r>
    </w:p>
    <w:p w14:paraId="5AF45B9C" w14:textId="7D42B3F1" w:rsidR="002025C8" w:rsidRPr="00785A8A" w:rsidRDefault="00CB6566" w:rsidP="00D51565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lang w:val="pt-PT"/>
        </w:rPr>
      </w:pPr>
      <w:r w:rsidRPr="00785A8A">
        <w:rPr>
          <w:b/>
          <w:bCs/>
          <w:lang w:val="pt-PT"/>
        </w:rPr>
        <w:t>No final de cada trimestre, 90% do saldo do</w:t>
      </w:r>
      <w:r w:rsidR="002025C8" w:rsidRPr="00785A8A">
        <w:rPr>
          <w:b/>
          <w:bCs/>
          <w:lang w:val="pt-PT"/>
        </w:rPr>
        <w:t>s juros</w:t>
      </w:r>
      <w:r w:rsidR="00D84474" w:rsidRPr="00785A8A">
        <w:rPr>
          <w:b/>
          <w:bCs/>
          <w:lang w:val="pt-PT"/>
        </w:rPr>
        <w:t xml:space="preserve"> líquidos</w:t>
      </w:r>
      <w:r w:rsidR="002025C8" w:rsidRPr="00785A8A">
        <w:rPr>
          <w:b/>
          <w:bCs/>
          <w:lang w:val="pt-PT"/>
        </w:rPr>
        <w:t xml:space="preserve"> e outros ganhos decorrentes da remuneração dos fundos depositados na conta fiduciária </w:t>
      </w:r>
      <w:r w:rsidRPr="00785A8A">
        <w:rPr>
          <w:b/>
          <w:bCs/>
          <w:lang w:val="pt-PT"/>
        </w:rPr>
        <w:t xml:space="preserve">devem </w:t>
      </w:r>
      <w:r w:rsidR="002025C8" w:rsidRPr="00785A8A">
        <w:rPr>
          <w:b/>
          <w:bCs/>
          <w:lang w:val="pt-PT"/>
        </w:rPr>
        <w:t>ser</w:t>
      </w:r>
      <w:r w:rsidRPr="00785A8A">
        <w:rPr>
          <w:b/>
          <w:bCs/>
          <w:lang w:val="pt-PT"/>
        </w:rPr>
        <w:t xml:space="preserve"> </w:t>
      </w:r>
      <w:r w:rsidR="002025C8" w:rsidRPr="00785A8A">
        <w:rPr>
          <w:b/>
          <w:bCs/>
          <w:lang w:val="pt-PT"/>
        </w:rPr>
        <w:t xml:space="preserve">distribuídos pelos portadores de moeda electrónica em função dos respectivos saldos médios diários no período em alusão. </w:t>
      </w:r>
    </w:p>
    <w:p w14:paraId="6B6B4B88" w14:textId="6E19A390" w:rsidR="002025C8" w:rsidRPr="00785A8A" w:rsidRDefault="00CB6566" w:rsidP="002025C8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lang w:val="pt-PT"/>
        </w:rPr>
      </w:pPr>
      <w:r w:rsidRPr="00785A8A">
        <w:rPr>
          <w:b/>
          <w:bCs/>
          <w:lang w:val="pt-PT"/>
        </w:rPr>
        <w:t xml:space="preserve">O saldo </w:t>
      </w:r>
      <w:r w:rsidR="00F37D81" w:rsidRPr="00785A8A">
        <w:rPr>
          <w:b/>
          <w:bCs/>
          <w:lang w:val="pt-PT"/>
        </w:rPr>
        <w:t xml:space="preserve">correspondente a 10% </w:t>
      </w:r>
      <w:r w:rsidRPr="00785A8A">
        <w:rPr>
          <w:b/>
          <w:bCs/>
          <w:lang w:val="pt-PT"/>
        </w:rPr>
        <w:t>do</w:t>
      </w:r>
      <w:r w:rsidR="00FD7904" w:rsidRPr="00785A8A">
        <w:rPr>
          <w:b/>
          <w:bCs/>
          <w:lang w:val="pt-PT"/>
        </w:rPr>
        <w:t xml:space="preserve">s </w:t>
      </w:r>
      <w:r w:rsidR="002025C8" w:rsidRPr="00785A8A">
        <w:rPr>
          <w:b/>
          <w:bCs/>
          <w:lang w:val="pt-PT"/>
        </w:rPr>
        <w:t xml:space="preserve">juros e outros ganhos decorrentes da remuneração dos fundos depositados na conta fiduciária </w:t>
      </w:r>
      <w:r w:rsidRPr="00785A8A">
        <w:rPr>
          <w:b/>
          <w:bCs/>
          <w:lang w:val="pt-PT"/>
        </w:rPr>
        <w:t>devem ser</w:t>
      </w:r>
      <w:r w:rsidR="002025C8" w:rsidRPr="00785A8A">
        <w:rPr>
          <w:b/>
          <w:bCs/>
          <w:lang w:val="pt-PT"/>
        </w:rPr>
        <w:t xml:space="preserve"> usados </w:t>
      </w:r>
      <w:bookmarkStart w:id="3" w:name="_Hlk177723164"/>
      <w:r w:rsidR="002025C8" w:rsidRPr="00785A8A">
        <w:rPr>
          <w:b/>
          <w:bCs/>
          <w:lang w:val="pt-PT"/>
        </w:rPr>
        <w:t xml:space="preserve">para introduzir inovação </w:t>
      </w:r>
      <w:r w:rsidR="002025C8" w:rsidRPr="00785A8A">
        <w:rPr>
          <w:b/>
          <w:bCs/>
          <w:lang w:val="pt-PT"/>
        </w:rPr>
        <w:lastRenderedPageBreak/>
        <w:t xml:space="preserve">e modernização </w:t>
      </w:r>
      <w:r w:rsidR="00F37D81" w:rsidRPr="00785A8A">
        <w:rPr>
          <w:b/>
          <w:bCs/>
          <w:lang w:val="pt-PT"/>
        </w:rPr>
        <w:t>n</w:t>
      </w:r>
      <w:r w:rsidR="002025C8" w:rsidRPr="00785A8A">
        <w:rPr>
          <w:b/>
          <w:bCs/>
          <w:lang w:val="pt-PT"/>
        </w:rPr>
        <w:t>os serviços prestados</w:t>
      </w:r>
      <w:r w:rsidR="00EB2774">
        <w:rPr>
          <w:b/>
          <w:bCs/>
          <w:lang w:val="pt-PT"/>
        </w:rPr>
        <w:t>,</w:t>
      </w:r>
      <w:r w:rsidR="002025C8" w:rsidRPr="00785A8A">
        <w:rPr>
          <w:b/>
          <w:bCs/>
          <w:lang w:val="pt-PT"/>
        </w:rPr>
        <w:t xml:space="preserve"> em </w:t>
      </w:r>
      <w:r w:rsidR="00FD7904" w:rsidRPr="00785A8A">
        <w:rPr>
          <w:b/>
          <w:bCs/>
          <w:lang w:val="pt-PT"/>
        </w:rPr>
        <w:t>benefício</w:t>
      </w:r>
      <w:r w:rsidR="002025C8" w:rsidRPr="00785A8A">
        <w:rPr>
          <w:b/>
          <w:bCs/>
          <w:lang w:val="pt-PT"/>
        </w:rPr>
        <w:t xml:space="preserve"> dos clientes</w:t>
      </w:r>
      <w:bookmarkEnd w:id="3"/>
      <w:r w:rsidR="002025C8" w:rsidRPr="00785A8A">
        <w:rPr>
          <w:b/>
          <w:bCs/>
          <w:lang w:val="pt-PT"/>
        </w:rPr>
        <w:t xml:space="preserve">, </w:t>
      </w:r>
      <w:r w:rsidR="00F37D81" w:rsidRPr="00785A8A">
        <w:rPr>
          <w:b/>
          <w:bCs/>
          <w:lang w:val="pt-PT"/>
        </w:rPr>
        <w:t xml:space="preserve">de acordo com </w:t>
      </w:r>
      <w:r w:rsidR="002025C8" w:rsidRPr="00785A8A">
        <w:rPr>
          <w:b/>
          <w:bCs/>
          <w:lang w:val="pt-PT"/>
        </w:rPr>
        <w:t xml:space="preserve">as instruções </w:t>
      </w:r>
      <w:r w:rsidR="00F37D81" w:rsidRPr="00785A8A">
        <w:rPr>
          <w:b/>
          <w:bCs/>
          <w:lang w:val="pt-PT"/>
        </w:rPr>
        <w:t>do</w:t>
      </w:r>
      <w:r w:rsidR="002025C8" w:rsidRPr="00785A8A">
        <w:rPr>
          <w:b/>
          <w:bCs/>
          <w:lang w:val="pt-PT"/>
        </w:rPr>
        <w:t xml:space="preserve"> Banco de Moçambique</w:t>
      </w:r>
      <w:r w:rsidR="00FD7904" w:rsidRPr="00785A8A">
        <w:rPr>
          <w:b/>
          <w:bCs/>
          <w:lang w:val="pt-PT"/>
        </w:rPr>
        <w:t>.</w:t>
      </w:r>
    </w:p>
    <w:p w14:paraId="33FFA1F2" w14:textId="1B9A7AEF" w:rsidR="008E106A" w:rsidRPr="00EB2774" w:rsidRDefault="00F37D81" w:rsidP="002025C8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lang w:val="pt-PT"/>
        </w:rPr>
      </w:pPr>
      <w:r w:rsidRPr="00EB2774">
        <w:rPr>
          <w:b/>
          <w:bCs/>
          <w:lang w:val="pt-PT"/>
        </w:rPr>
        <w:t xml:space="preserve">Não </w:t>
      </w:r>
      <w:r w:rsidR="00EB2774" w:rsidRPr="00EB2774">
        <w:rPr>
          <w:b/>
          <w:bCs/>
          <w:lang w:val="pt-PT"/>
        </w:rPr>
        <w:t>são abrangidos pelo disposto no n.º 1 as seguintes entidades</w:t>
      </w:r>
      <w:r w:rsidR="008E106A" w:rsidRPr="00EB2774">
        <w:rPr>
          <w:b/>
          <w:bCs/>
          <w:lang w:val="pt-PT"/>
        </w:rPr>
        <w:t>:</w:t>
      </w:r>
      <w:r w:rsidR="009A59C4" w:rsidRPr="00EB2774">
        <w:rPr>
          <w:b/>
          <w:bCs/>
          <w:lang w:val="pt-PT"/>
        </w:rPr>
        <w:t xml:space="preserve"> </w:t>
      </w:r>
    </w:p>
    <w:p w14:paraId="45AE565B" w14:textId="3C00BCF7" w:rsidR="008E106A" w:rsidRPr="00EB2774" w:rsidRDefault="00F474F0" w:rsidP="008E106A">
      <w:pPr>
        <w:pStyle w:val="ListParagraph"/>
        <w:numPr>
          <w:ilvl w:val="1"/>
          <w:numId w:val="20"/>
        </w:numPr>
        <w:spacing w:line="360" w:lineRule="auto"/>
        <w:jc w:val="both"/>
        <w:rPr>
          <w:b/>
          <w:bCs/>
          <w:lang w:val="pt-PT"/>
        </w:rPr>
      </w:pPr>
      <w:r w:rsidRPr="00EB2774">
        <w:rPr>
          <w:b/>
          <w:bCs/>
          <w:lang w:val="pt-PT"/>
        </w:rPr>
        <w:t>I</w:t>
      </w:r>
      <w:r w:rsidR="008E106A" w:rsidRPr="00EB2774">
        <w:rPr>
          <w:b/>
          <w:bCs/>
          <w:lang w:val="pt-PT"/>
        </w:rPr>
        <w:t xml:space="preserve">nstituições de Crédito e </w:t>
      </w:r>
      <w:r w:rsidRPr="00EB2774">
        <w:rPr>
          <w:b/>
          <w:bCs/>
          <w:lang w:val="pt-PT"/>
        </w:rPr>
        <w:t>S</w:t>
      </w:r>
      <w:r w:rsidR="008E106A" w:rsidRPr="00EB2774">
        <w:rPr>
          <w:b/>
          <w:bCs/>
          <w:lang w:val="pt-PT"/>
        </w:rPr>
        <w:t xml:space="preserve">ociedades </w:t>
      </w:r>
      <w:r w:rsidRPr="00EB2774">
        <w:rPr>
          <w:b/>
          <w:bCs/>
          <w:lang w:val="pt-PT"/>
        </w:rPr>
        <w:t>F</w:t>
      </w:r>
      <w:r w:rsidR="008E106A" w:rsidRPr="00EB2774">
        <w:rPr>
          <w:b/>
          <w:bCs/>
          <w:lang w:val="pt-PT"/>
        </w:rPr>
        <w:t>inanceiras;</w:t>
      </w:r>
    </w:p>
    <w:p w14:paraId="2194FD95" w14:textId="611CE7A6" w:rsidR="00C73DE7" w:rsidRPr="00EB2774" w:rsidRDefault="008E106A">
      <w:pPr>
        <w:pStyle w:val="ListParagraph"/>
        <w:numPr>
          <w:ilvl w:val="1"/>
          <w:numId w:val="20"/>
        </w:numPr>
        <w:spacing w:line="360" w:lineRule="auto"/>
        <w:jc w:val="both"/>
        <w:rPr>
          <w:b/>
          <w:bCs/>
          <w:lang w:val="pt-PT"/>
        </w:rPr>
      </w:pPr>
      <w:r w:rsidRPr="00EB2774">
        <w:rPr>
          <w:b/>
          <w:bCs/>
          <w:lang w:val="pt-PT"/>
        </w:rPr>
        <w:t>I</w:t>
      </w:r>
      <w:r w:rsidR="008F6E0A" w:rsidRPr="00EB2774">
        <w:rPr>
          <w:b/>
          <w:bCs/>
          <w:lang w:val="pt-PT"/>
        </w:rPr>
        <w:t xml:space="preserve">nstituições </w:t>
      </w:r>
      <w:r w:rsidR="004C7058" w:rsidRPr="00EB2774">
        <w:rPr>
          <w:b/>
          <w:bCs/>
          <w:lang w:val="pt-PT"/>
        </w:rPr>
        <w:t>públicas</w:t>
      </w:r>
      <w:r w:rsidR="00D46AC7" w:rsidRPr="00EB2774">
        <w:rPr>
          <w:b/>
          <w:bCs/>
          <w:lang w:val="pt-PT"/>
        </w:rPr>
        <w:t>;</w:t>
      </w:r>
    </w:p>
    <w:p w14:paraId="4B505FF2" w14:textId="2B88FCBA" w:rsidR="00D46AC7" w:rsidRPr="00EB2774" w:rsidRDefault="00D46AC7">
      <w:pPr>
        <w:pStyle w:val="ListParagraph"/>
        <w:numPr>
          <w:ilvl w:val="1"/>
          <w:numId w:val="20"/>
        </w:numPr>
        <w:spacing w:line="360" w:lineRule="auto"/>
        <w:jc w:val="both"/>
        <w:rPr>
          <w:b/>
          <w:bCs/>
          <w:lang w:val="pt-PT"/>
        </w:rPr>
      </w:pPr>
      <w:r w:rsidRPr="00EB2774">
        <w:rPr>
          <w:b/>
          <w:bCs/>
          <w:lang w:val="pt-PT"/>
        </w:rPr>
        <w:t>Grandes empresas</w:t>
      </w:r>
      <w:r w:rsidR="00F37D81" w:rsidRPr="00EB2774">
        <w:rPr>
          <w:b/>
          <w:bCs/>
          <w:lang w:val="pt-PT"/>
        </w:rPr>
        <w:t>,</w:t>
      </w:r>
      <w:r w:rsidR="00554964">
        <w:rPr>
          <w:b/>
          <w:bCs/>
          <w:lang w:val="pt-PT"/>
        </w:rPr>
        <w:t xml:space="preserve"> na acepção estabelecida pelo Código Comercial;</w:t>
      </w:r>
      <w:r w:rsidR="00F37D81" w:rsidRPr="00EB2774">
        <w:rPr>
          <w:b/>
          <w:bCs/>
          <w:lang w:val="pt-PT"/>
        </w:rPr>
        <w:t xml:space="preserve"> e</w:t>
      </w:r>
    </w:p>
    <w:p w14:paraId="6D5DF578" w14:textId="16748E83" w:rsidR="00F37D81" w:rsidRPr="00EB2774" w:rsidRDefault="00F37D81">
      <w:pPr>
        <w:pStyle w:val="ListParagraph"/>
        <w:numPr>
          <w:ilvl w:val="1"/>
          <w:numId w:val="20"/>
        </w:numPr>
        <w:spacing w:line="360" w:lineRule="auto"/>
        <w:jc w:val="both"/>
        <w:rPr>
          <w:b/>
          <w:bCs/>
          <w:lang w:val="pt-PT"/>
        </w:rPr>
      </w:pPr>
      <w:r w:rsidRPr="00EB2774">
        <w:rPr>
          <w:b/>
          <w:bCs/>
          <w:lang w:val="pt-PT"/>
        </w:rPr>
        <w:t>Os agentes de moeda electrónica.</w:t>
      </w:r>
    </w:p>
    <w:p w14:paraId="0E3D94C6" w14:textId="7CF4AD0E" w:rsidR="002025C8" w:rsidRPr="00554964" w:rsidRDefault="0099039C" w:rsidP="00D51565">
      <w:pPr>
        <w:pStyle w:val="ListParagraph"/>
        <w:numPr>
          <w:ilvl w:val="0"/>
          <w:numId w:val="20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>Para efeitos do disposto no n</w:t>
      </w:r>
      <w:r w:rsidR="00407897">
        <w:rPr>
          <w:b/>
          <w:bCs/>
          <w:lang w:val="pt-PT"/>
        </w:rPr>
        <w:t>.º</w:t>
      </w:r>
      <w:r w:rsidRPr="00E3023F">
        <w:rPr>
          <w:b/>
          <w:bCs/>
          <w:lang w:val="pt-PT"/>
        </w:rPr>
        <w:t xml:space="preserve"> 2, as instituições de moeda electrónica devem submeter os relatórios de utilização dos fundos</w:t>
      </w:r>
      <w:r w:rsidR="00F37D81">
        <w:rPr>
          <w:b/>
          <w:bCs/>
          <w:lang w:val="pt-PT"/>
        </w:rPr>
        <w:t xml:space="preserve"> </w:t>
      </w:r>
      <w:r w:rsidR="00F37D81" w:rsidRPr="00554964">
        <w:rPr>
          <w:b/>
          <w:bCs/>
          <w:lang w:val="pt-PT"/>
        </w:rPr>
        <w:t>de acordo com a Circular do Banco de Moçambique</w:t>
      </w:r>
      <w:r w:rsidRPr="00554964">
        <w:rPr>
          <w:b/>
          <w:bCs/>
          <w:lang w:val="pt-PT"/>
        </w:rPr>
        <w:t>.</w:t>
      </w:r>
    </w:p>
    <w:p w14:paraId="1B1EDB06" w14:textId="77777777" w:rsidR="003C724E" w:rsidRPr="00E3023F" w:rsidRDefault="003C724E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</w:p>
    <w:p w14:paraId="4FCFB14B" w14:textId="1D3E6126" w:rsidR="007C534B" w:rsidRPr="00E3023F" w:rsidRDefault="007C534B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SECÇÃO III</w:t>
      </w:r>
    </w:p>
    <w:p w14:paraId="20C206D5" w14:textId="79E5001C" w:rsidR="007C534B" w:rsidRPr="00E3023F" w:rsidRDefault="007C534B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Inactividade e dormência</w:t>
      </w:r>
    </w:p>
    <w:p w14:paraId="19B8A2C4" w14:textId="77777777" w:rsidR="007C534B" w:rsidRPr="00E3023F" w:rsidRDefault="007C534B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</w:p>
    <w:p w14:paraId="79CA95F5" w14:textId="01311C7F" w:rsidR="002025C8" w:rsidRPr="00E3023F" w:rsidRDefault="002025C8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</w:t>
      </w:r>
      <w:r w:rsidR="00CB6566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3</w:t>
      </w:r>
    </w:p>
    <w:p w14:paraId="6BE7C193" w14:textId="13F72DCC" w:rsidR="002025C8" w:rsidRPr="00E3023F" w:rsidRDefault="002025C8" w:rsidP="00D51565">
      <w:pPr>
        <w:spacing w:line="360" w:lineRule="auto"/>
        <w:ind w:left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Conta </w:t>
      </w:r>
      <w:r w:rsidR="00FD7904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i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nactivas</w:t>
      </w:r>
    </w:p>
    <w:p w14:paraId="34FA220F" w14:textId="28BA73BF" w:rsidR="002025C8" w:rsidRPr="00E3023F" w:rsidRDefault="002025C8" w:rsidP="00D51565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As </w:t>
      </w:r>
      <w:r w:rsidR="00FD7904" w:rsidRPr="00E3023F">
        <w:rPr>
          <w:b/>
          <w:bCs/>
          <w:lang w:val="pt-PT"/>
        </w:rPr>
        <w:t>i</w:t>
      </w:r>
      <w:r w:rsidRPr="00E3023F">
        <w:rPr>
          <w:b/>
          <w:bCs/>
          <w:lang w:val="pt-PT"/>
        </w:rPr>
        <w:t xml:space="preserve">nstituições de </w:t>
      </w:r>
      <w:r w:rsidR="00FD7904" w:rsidRPr="00E3023F">
        <w:rPr>
          <w:b/>
          <w:bCs/>
          <w:lang w:val="pt-PT"/>
        </w:rPr>
        <w:t>m</w:t>
      </w:r>
      <w:r w:rsidRPr="00E3023F">
        <w:rPr>
          <w:b/>
          <w:bCs/>
          <w:lang w:val="pt-PT"/>
        </w:rPr>
        <w:t xml:space="preserve">oeda </w:t>
      </w:r>
      <w:r w:rsidR="00FD7904" w:rsidRPr="00E3023F">
        <w:rPr>
          <w:b/>
          <w:bCs/>
          <w:lang w:val="pt-PT"/>
        </w:rPr>
        <w:t>e</w:t>
      </w:r>
      <w:r w:rsidRPr="00E3023F">
        <w:rPr>
          <w:b/>
          <w:bCs/>
          <w:lang w:val="pt-PT"/>
        </w:rPr>
        <w:t xml:space="preserve">lectrónica devem abrir uma conta interna, em moeda electrónica, para a qual </w:t>
      </w:r>
      <w:r w:rsidR="00501317" w:rsidRPr="00E3023F">
        <w:rPr>
          <w:b/>
          <w:bCs/>
          <w:lang w:val="pt-PT"/>
        </w:rPr>
        <w:t>devem ser</w:t>
      </w:r>
      <w:r w:rsidRPr="00E3023F">
        <w:rPr>
          <w:b/>
          <w:bCs/>
          <w:lang w:val="pt-PT"/>
        </w:rPr>
        <w:t xml:space="preserve"> transferidos os fundos da conta inactiva.</w:t>
      </w:r>
    </w:p>
    <w:p w14:paraId="7AF96473" w14:textId="415448C8" w:rsidR="002025C8" w:rsidRPr="00E3023F" w:rsidRDefault="002025C8" w:rsidP="00D51565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As </w:t>
      </w:r>
      <w:r w:rsidR="00FD7904" w:rsidRPr="00E3023F">
        <w:rPr>
          <w:b/>
          <w:bCs/>
          <w:lang w:val="pt-PT"/>
        </w:rPr>
        <w:t>i</w:t>
      </w:r>
      <w:r w:rsidRPr="00E3023F">
        <w:rPr>
          <w:b/>
          <w:bCs/>
          <w:lang w:val="pt-PT"/>
        </w:rPr>
        <w:t xml:space="preserve">nstituições de </w:t>
      </w:r>
      <w:r w:rsidR="00FD7904" w:rsidRPr="00E3023F">
        <w:rPr>
          <w:b/>
          <w:bCs/>
          <w:lang w:val="pt-PT"/>
        </w:rPr>
        <w:t>m</w:t>
      </w:r>
      <w:r w:rsidRPr="00E3023F">
        <w:rPr>
          <w:b/>
          <w:bCs/>
          <w:lang w:val="pt-PT"/>
        </w:rPr>
        <w:t xml:space="preserve">oeda </w:t>
      </w:r>
      <w:r w:rsidR="00FD7904" w:rsidRPr="00E3023F">
        <w:rPr>
          <w:b/>
          <w:bCs/>
          <w:lang w:val="pt-PT"/>
        </w:rPr>
        <w:t>e</w:t>
      </w:r>
      <w:r w:rsidRPr="00E3023F">
        <w:rPr>
          <w:b/>
          <w:bCs/>
          <w:lang w:val="pt-PT"/>
        </w:rPr>
        <w:t>lectrónica devem</w:t>
      </w:r>
      <w:r w:rsidR="00BC559D">
        <w:rPr>
          <w:b/>
          <w:bCs/>
          <w:lang w:val="pt-PT"/>
        </w:rPr>
        <w:t>,</w:t>
      </w:r>
      <w:r w:rsidRPr="00E3023F">
        <w:rPr>
          <w:b/>
          <w:bCs/>
          <w:lang w:val="pt-PT"/>
        </w:rPr>
        <w:t xml:space="preserve"> antes de classificar uma conta de moeda electrónica como inactiva, notificar o respectivo titular (portador de moeda electrónica), até</w:t>
      </w:r>
      <w:r w:rsidR="00404F00" w:rsidRPr="00E3023F">
        <w:rPr>
          <w:b/>
          <w:bCs/>
          <w:lang w:val="pt-PT"/>
        </w:rPr>
        <w:t xml:space="preserve"> pelo menos</w:t>
      </w:r>
      <w:r w:rsidRPr="00E3023F">
        <w:rPr>
          <w:b/>
          <w:bCs/>
          <w:lang w:val="pt-PT"/>
        </w:rPr>
        <w:t xml:space="preserve"> </w:t>
      </w:r>
      <w:r w:rsidR="00FD7904" w:rsidRPr="00E3023F">
        <w:rPr>
          <w:b/>
          <w:bCs/>
          <w:lang w:val="pt-PT"/>
        </w:rPr>
        <w:t>um</w:t>
      </w:r>
      <w:r w:rsidRPr="00E3023F">
        <w:rPr>
          <w:b/>
          <w:bCs/>
          <w:lang w:val="pt-PT"/>
        </w:rPr>
        <w:t xml:space="preserve"> mês antes </w:t>
      </w:r>
      <w:r w:rsidR="00554964">
        <w:rPr>
          <w:b/>
          <w:bCs/>
          <w:lang w:val="pt-PT"/>
        </w:rPr>
        <w:t>d</w:t>
      </w:r>
      <w:r w:rsidRPr="00E3023F">
        <w:rPr>
          <w:b/>
          <w:bCs/>
          <w:lang w:val="pt-PT"/>
        </w:rPr>
        <w:t xml:space="preserve">o </w:t>
      </w:r>
      <w:r w:rsidR="00CB6566" w:rsidRPr="00E3023F">
        <w:rPr>
          <w:b/>
          <w:bCs/>
          <w:lang w:val="pt-PT"/>
        </w:rPr>
        <w:t>décimo segundo</w:t>
      </w:r>
      <w:r w:rsidRPr="00E3023F">
        <w:rPr>
          <w:b/>
          <w:bCs/>
          <w:lang w:val="pt-PT"/>
        </w:rPr>
        <w:t xml:space="preserve"> mês sem registo de movimentos na respectiva conta</w:t>
      </w:r>
      <w:r w:rsidR="008D74B6" w:rsidRPr="00E3023F">
        <w:rPr>
          <w:b/>
          <w:bCs/>
          <w:lang w:val="pt-PT"/>
        </w:rPr>
        <w:t>.</w:t>
      </w:r>
      <w:r w:rsidRPr="00E3023F">
        <w:rPr>
          <w:b/>
          <w:bCs/>
          <w:lang w:val="pt-PT"/>
        </w:rPr>
        <w:t xml:space="preserve"> </w:t>
      </w:r>
    </w:p>
    <w:p w14:paraId="4C8F8929" w14:textId="3C38362E" w:rsidR="002025C8" w:rsidRPr="00E3023F" w:rsidRDefault="002025C8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Os fundos transferidos permanecem na conta interna em moeda electrónica por um período de </w:t>
      </w:r>
      <w:r w:rsidR="00501317" w:rsidRPr="00E3023F">
        <w:rPr>
          <w:b/>
          <w:bCs/>
          <w:lang w:val="pt-PT"/>
        </w:rPr>
        <w:t>doze</w:t>
      </w:r>
      <w:r w:rsidRPr="00E3023F">
        <w:rPr>
          <w:b/>
          <w:bCs/>
          <w:lang w:val="pt-PT"/>
        </w:rPr>
        <w:t xml:space="preserve"> meses.</w:t>
      </w:r>
    </w:p>
    <w:p w14:paraId="0DBB806C" w14:textId="5C0805DD" w:rsidR="00501317" w:rsidRPr="00E3023F" w:rsidRDefault="00BC559D" w:rsidP="00501317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lang w:val="pt-PT"/>
        </w:rPr>
      </w:pPr>
      <w:r>
        <w:rPr>
          <w:b/>
          <w:bCs/>
          <w:lang w:val="pt-PT"/>
        </w:rPr>
        <w:t>No decurso</w:t>
      </w:r>
      <w:r w:rsidRPr="00E3023F">
        <w:rPr>
          <w:b/>
          <w:bCs/>
          <w:lang w:val="pt-PT"/>
        </w:rPr>
        <w:t xml:space="preserve"> </w:t>
      </w:r>
      <w:r w:rsidR="00554964">
        <w:rPr>
          <w:b/>
          <w:bCs/>
          <w:lang w:val="pt-PT"/>
        </w:rPr>
        <w:t>do período</w:t>
      </w:r>
      <w:r w:rsidR="00501317" w:rsidRPr="00E3023F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 xml:space="preserve">referido no número anterior, </w:t>
      </w:r>
      <w:r w:rsidR="00501317" w:rsidRPr="00E3023F">
        <w:rPr>
          <w:b/>
          <w:bCs/>
          <w:lang w:val="pt-PT"/>
        </w:rPr>
        <w:t xml:space="preserve">as </w:t>
      </w:r>
      <w:r>
        <w:rPr>
          <w:b/>
          <w:bCs/>
          <w:lang w:val="pt-PT"/>
        </w:rPr>
        <w:t>instituições de moeda electrónica</w:t>
      </w:r>
      <w:r w:rsidRPr="00E3023F">
        <w:rPr>
          <w:b/>
          <w:bCs/>
          <w:lang w:val="pt-PT"/>
        </w:rPr>
        <w:t xml:space="preserve"> </w:t>
      </w:r>
      <w:r w:rsidR="00501317" w:rsidRPr="00E3023F">
        <w:rPr>
          <w:b/>
          <w:bCs/>
          <w:lang w:val="pt-PT"/>
        </w:rPr>
        <w:t>devem:</w:t>
      </w:r>
    </w:p>
    <w:p w14:paraId="6D3A6541" w14:textId="03619C72" w:rsidR="00501317" w:rsidRPr="00E3023F" w:rsidRDefault="00BC559D" w:rsidP="00501317">
      <w:pPr>
        <w:pStyle w:val="ListParagraph"/>
        <w:numPr>
          <w:ilvl w:val="1"/>
          <w:numId w:val="24"/>
        </w:numPr>
        <w:spacing w:line="360" w:lineRule="auto"/>
        <w:jc w:val="both"/>
        <w:rPr>
          <w:b/>
          <w:bCs/>
          <w:lang w:val="pt-PT"/>
        </w:rPr>
      </w:pPr>
      <w:r>
        <w:rPr>
          <w:b/>
          <w:bCs/>
          <w:lang w:val="pt-PT"/>
        </w:rPr>
        <w:t>Cativar o saldo</w:t>
      </w:r>
      <w:r w:rsidRPr="00E3023F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d</w:t>
      </w:r>
      <w:r w:rsidR="00501317" w:rsidRPr="00E3023F">
        <w:rPr>
          <w:b/>
          <w:bCs/>
          <w:lang w:val="pt-PT"/>
        </w:rPr>
        <w:t xml:space="preserve">a conta inactiva e não permitir movimentos a débito e crédito, até </w:t>
      </w:r>
      <w:r>
        <w:rPr>
          <w:b/>
          <w:bCs/>
          <w:lang w:val="pt-PT"/>
        </w:rPr>
        <w:t>à</w:t>
      </w:r>
      <w:r w:rsidR="00501317" w:rsidRPr="00E3023F">
        <w:rPr>
          <w:b/>
          <w:bCs/>
          <w:lang w:val="pt-PT"/>
        </w:rPr>
        <w:t xml:space="preserve"> sua reactivação;</w:t>
      </w:r>
    </w:p>
    <w:p w14:paraId="744B6D64" w14:textId="7E23E49C" w:rsidR="00501317" w:rsidRPr="00E3023F" w:rsidRDefault="00501317" w:rsidP="00501317">
      <w:pPr>
        <w:pStyle w:val="ListParagraph"/>
        <w:numPr>
          <w:ilvl w:val="1"/>
          <w:numId w:val="24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Ter procedimentos </w:t>
      </w:r>
      <w:r w:rsidR="00BC559D">
        <w:rPr>
          <w:b/>
          <w:bCs/>
          <w:lang w:val="pt-PT"/>
        </w:rPr>
        <w:t>para a</w:t>
      </w:r>
      <w:r w:rsidRPr="00E3023F">
        <w:rPr>
          <w:b/>
          <w:bCs/>
          <w:lang w:val="pt-PT"/>
        </w:rPr>
        <w:t xml:space="preserve"> reactivação das contas inactivas; e</w:t>
      </w:r>
    </w:p>
    <w:p w14:paraId="0CB07C0F" w14:textId="486748F8" w:rsidR="00501317" w:rsidRPr="00E3023F" w:rsidRDefault="00501317" w:rsidP="00501317">
      <w:pPr>
        <w:pStyle w:val="ListParagraph"/>
        <w:numPr>
          <w:ilvl w:val="1"/>
          <w:numId w:val="24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>Realizar diligências para a localização ou notificação dos titulares das contas inactivas através de lembretes por co</w:t>
      </w:r>
      <w:r w:rsidR="00BC559D">
        <w:rPr>
          <w:b/>
          <w:bCs/>
          <w:lang w:val="pt-PT"/>
        </w:rPr>
        <w:t>r</w:t>
      </w:r>
      <w:r w:rsidRPr="00E3023F">
        <w:rPr>
          <w:b/>
          <w:bCs/>
          <w:lang w:val="pt-PT"/>
        </w:rPr>
        <w:t xml:space="preserve">reio electrónico ou mensagens curtas </w:t>
      </w:r>
      <w:r w:rsidRPr="00E3023F">
        <w:rPr>
          <w:b/>
          <w:bCs/>
          <w:lang w:val="pt-PT"/>
        </w:rPr>
        <w:lastRenderedPageBreak/>
        <w:t xml:space="preserve">(SMS), de modo a informá-los sobre o </w:t>
      </w:r>
      <w:r w:rsidR="00BC559D">
        <w:rPr>
          <w:b/>
          <w:bCs/>
          <w:lang w:val="pt-PT"/>
        </w:rPr>
        <w:t>cativo do saldo</w:t>
      </w:r>
      <w:r w:rsidR="00BC559D" w:rsidRPr="00E3023F">
        <w:rPr>
          <w:b/>
          <w:bCs/>
          <w:lang w:val="pt-PT"/>
        </w:rPr>
        <w:t xml:space="preserve"> </w:t>
      </w:r>
      <w:r w:rsidRPr="00E3023F">
        <w:rPr>
          <w:b/>
          <w:bCs/>
          <w:lang w:val="pt-PT"/>
        </w:rPr>
        <w:t>por inactividade das contas de moeda electrónica.</w:t>
      </w:r>
    </w:p>
    <w:p w14:paraId="398DCDA0" w14:textId="1FA6B825" w:rsidR="002025C8" w:rsidRPr="00E3023F" w:rsidRDefault="002025C8" w:rsidP="00D51565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A conta interna </w:t>
      </w:r>
      <w:r w:rsidR="00BC559D">
        <w:rPr>
          <w:b/>
          <w:bCs/>
          <w:lang w:val="pt-PT"/>
        </w:rPr>
        <w:t xml:space="preserve">de moeda electrónica </w:t>
      </w:r>
      <w:r w:rsidRPr="00E3023F">
        <w:rPr>
          <w:b/>
          <w:bCs/>
          <w:lang w:val="pt-PT"/>
        </w:rPr>
        <w:t>é movimentada a débito para os seguintes fins:</w:t>
      </w:r>
    </w:p>
    <w:p w14:paraId="101643E7" w14:textId="602FEB1B" w:rsidR="002025C8" w:rsidRPr="00E3023F" w:rsidRDefault="00501317" w:rsidP="00D51565">
      <w:pPr>
        <w:pStyle w:val="ListParagraph"/>
        <w:numPr>
          <w:ilvl w:val="1"/>
          <w:numId w:val="23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>F</w:t>
      </w:r>
      <w:r w:rsidR="002025C8" w:rsidRPr="00E3023F">
        <w:rPr>
          <w:b/>
          <w:bCs/>
          <w:lang w:val="pt-PT"/>
        </w:rPr>
        <w:t xml:space="preserve">azer face às reclamações dos titulares </w:t>
      </w:r>
      <w:r w:rsidR="00BC559D" w:rsidRPr="00E3023F">
        <w:rPr>
          <w:b/>
          <w:bCs/>
          <w:lang w:val="pt-PT"/>
        </w:rPr>
        <w:t>d</w:t>
      </w:r>
      <w:r w:rsidR="00BC559D">
        <w:rPr>
          <w:b/>
          <w:bCs/>
          <w:lang w:val="pt-PT"/>
        </w:rPr>
        <w:t>as</w:t>
      </w:r>
      <w:r w:rsidR="00BC559D" w:rsidRPr="00E3023F">
        <w:rPr>
          <w:b/>
          <w:bCs/>
          <w:lang w:val="pt-PT"/>
        </w:rPr>
        <w:t xml:space="preserve"> </w:t>
      </w:r>
      <w:r w:rsidR="002025C8" w:rsidRPr="00E3023F">
        <w:rPr>
          <w:b/>
          <w:bCs/>
          <w:lang w:val="pt-PT"/>
        </w:rPr>
        <w:t>contas inactivas;</w:t>
      </w:r>
    </w:p>
    <w:p w14:paraId="4137A10D" w14:textId="3924D6E7" w:rsidR="002025C8" w:rsidRPr="00E3023F" w:rsidRDefault="00501317" w:rsidP="00D51565">
      <w:pPr>
        <w:pStyle w:val="ListParagraph"/>
        <w:numPr>
          <w:ilvl w:val="1"/>
          <w:numId w:val="23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>T</w:t>
      </w:r>
      <w:r w:rsidR="002025C8" w:rsidRPr="00E3023F">
        <w:rPr>
          <w:b/>
          <w:bCs/>
          <w:lang w:val="pt-PT"/>
        </w:rPr>
        <w:t xml:space="preserve">ransferência </w:t>
      </w:r>
      <w:r w:rsidR="00554964">
        <w:rPr>
          <w:b/>
          <w:bCs/>
          <w:lang w:val="pt-PT"/>
        </w:rPr>
        <w:t xml:space="preserve">dos fundos </w:t>
      </w:r>
      <w:r w:rsidR="002025C8" w:rsidRPr="00E3023F">
        <w:rPr>
          <w:b/>
          <w:bCs/>
          <w:lang w:val="pt-PT"/>
        </w:rPr>
        <w:t xml:space="preserve">para o Banco de Moçambique, </w:t>
      </w:r>
      <w:r w:rsidR="00F07EA3">
        <w:rPr>
          <w:b/>
          <w:bCs/>
          <w:lang w:val="pt-PT"/>
        </w:rPr>
        <w:t>após</w:t>
      </w:r>
      <w:r w:rsidR="00F07EA3" w:rsidRPr="00E3023F">
        <w:rPr>
          <w:b/>
          <w:bCs/>
          <w:lang w:val="pt-PT"/>
        </w:rPr>
        <w:t xml:space="preserve"> </w:t>
      </w:r>
      <w:r w:rsidRPr="00E3023F">
        <w:rPr>
          <w:b/>
          <w:bCs/>
          <w:lang w:val="pt-PT"/>
        </w:rPr>
        <w:t>doze</w:t>
      </w:r>
      <w:r w:rsidR="002025C8" w:rsidRPr="00E3023F">
        <w:rPr>
          <w:b/>
          <w:bCs/>
          <w:lang w:val="pt-PT"/>
        </w:rPr>
        <w:t xml:space="preserve"> meses de permanência na conta interna de moeda electrónica sem que os portadores </w:t>
      </w:r>
      <w:r w:rsidR="004F62CA" w:rsidRPr="00E3023F">
        <w:rPr>
          <w:b/>
          <w:bCs/>
          <w:lang w:val="pt-PT"/>
        </w:rPr>
        <w:t xml:space="preserve">ou seus representantes </w:t>
      </w:r>
      <w:r w:rsidR="00F07EA3">
        <w:rPr>
          <w:b/>
          <w:bCs/>
          <w:lang w:val="pt-PT"/>
        </w:rPr>
        <w:t xml:space="preserve">tenham </w:t>
      </w:r>
      <w:r w:rsidR="00F07EA3" w:rsidRPr="00E3023F">
        <w:rPr>
          <w:b/>
          <w:bCs/>
          <w:lang w:val="pt-PT"/>
        </w:rPr>
        <w:t>apresent</w:t>
      </w:r>
      <w:r w:rsidR="00F07EA3">
        <w:rPr>
          <w:b/>
          <w:bCs/>
          <w:lang w:val="pt-PT"/>
        </w:rPr>
        <w:t>ado</w:t>
      </w:r>
      <w:r w:rsidR="00F07EA3" w:rsidRPr="00E3023F">
        <w:rPr>
          <w:b/>
          <w:bCs/>
          <w:lang w:val="pt-PT"/>
        </w:rPr>
        <w:t xml:space="preserve"> </w:t>
      </w:r>
      <w:r w:rsidR="002025C8" w:rsidRPr="00E3023F">
        <w:rPr>
          <w:b/>
          <w:bCs/>
          <w:lang w:val="pt-PT"/>
        </w:rPr>
        <w:t xml:space="preserve">uma reclamação. </w:t>
      </w:r>
    </w:p>
    <w:p w14:paraId="5AADF964" w14:textId="10816EF7" w:rsidR="002025C8" w:rsidRPr="00E3023F" w:rsidRDefault="002025C8" w:rsidP="00D51565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O Banco de Moçambique deve ter acesso, em tempo real, às contas internas de moeda electrónica abertas para </w:t>
      </w:r>
      <w:r w:rsidR="005A37AF">
        <w:rPr>
          <w:b/>
          <w:bCs/>
          <w:lang w:val="pt-PT"/>
        </w:rPr>
        <w:t xml:space="preserve">a </w:t>
      </w:r>
      <w:r w:rsidRPr="00E3023F">
        <w:rPr>
          <w:b/>
          <w:bCs/>
          <w:lang w:val="pt-PT"/>
        </w:rPr>
        <w:t>recepção dos fundos das contas inactivas.</w:t>
      </w:r>
    </w:p>
    <w:p w14:paraId="5F4567DD" w14:textId="556766D1" w:rsidR="002025C8" w:rsidRPr="00E3023F" w:rsidRDefault="002025C8" w:rsidP="00D51565">
      <w:pPr>
        <w:pStyle w:val="ListParagraph"/>
        <w:numPr>
          <w:ilvl w:val="0"/>
          <w:numId w:val="22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 xml:space="preserve">As </w:t>
      </w:r>
      <w:r w:rsidR="00FD7904" w:rsidRPr="00E3023F">
        <w:rPr>
          <w:b/>
          <w:bCs/>
          <w:lang w:val="pt-PT"/>
        </w:rPr>
        <w:t>i</w:t>
      </w:r>
      <w:r w:rsidRPr="00E3023F">
        <w:rPr>
          <w:b/>
          <w:bCs/>
          <w:lang w:val="pt-PT"/>
        </w:rPr>
        <w:t xml:space="preserve">nstituições de </w:t>
      </w:r>
      <w:r w:rsidR="00FD7904" w:rsidRPr="00E3023F">
        <w:rPr>
          <w:b/>
          <w:bCs/>
          <w:lang w:val="pt-PT"/>
        </w:rPr>
        <w:t>m</w:t>
      </w:r>
      <w:r w:rsidRPr="00E3023F">
        <w:rPr>
          <w:b/>
          <w:bCs/>
          <w:lang w:val="pt-PT"/>
        </w:rPr>
        <w:t xml:space="preserve">oeda </w:t>
      </w:r>
      <w:r w:rsidR="00FD7904" w:rsidRPr="00E3023F">
        <w:rPr>
          <w:b/>
          <w:bCs/>
          <w:lang w:val="pt-PT"/>
        </w:rPr>
        <w:t>e</w:t>
      </w:r>
      <w:r w:rsidRPr="00E3023F">
        <w:rPr>
          <w:b/>
          <w:bCs/>
          <w:lang w:val="pt-PT"/>
        </w:rPr>
        <w:t>lectrónica devem fornecer ao Banco de Moçambique, mensalmente, a relação das contas inactivas e os respectivos saldos.</w:t>
      </w:r>
    </w:p>
    <w:p w14:paraId="67F0CF29" w14:textId="77777777" w:rsidR="002025C8" w:rsidRPr="00E3023F" w:rsidRDefault="002025C8" w:rsidP="00D51565">
      <w:pPr>
        <w:pStyle w:val="ListParagraph"/>
        <w:jc w:val="both"/>
        <w:rPr>
          <w:b/>
          <w:bCs/>
          <w:lang w:val="pt-PT"/>
        </w:rPr>
      </w:pPr>
    </w:p>
    <w:p w14:paraId="2B3B1E7E" w14:textId="6E37D0FB" w:rsidR="005E24CD" w:rsidRPr="00E3023F" w:rsidRDefault="00305D2C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</w:t>
      </w:r>
      <w:r w:rsidR="00B63FAC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4</w:t>
      </w:r>
    </w:p>
    <w:p w14:paraId="35B7C3BC" w14:textId="36B3CFE4" w:rsidR="00305D2C" w:rsidRPr="00E3023F" w:rsidRDefault="00305D2C" w:rsidP="00E3023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Contas dormentes</w:t>
      </w:r>
    </w:p>
    <w:p w14:paraId="73DEF1F9" w14:textId="7CC8568E" w:rsidR="00305D2C" w:rsidRPr="00E3023F" w:rsidRDefault="00C44051" w:rsidP="00E3023F">
      <w:pPr>
        <w:pStyle w:val="ListParagraph"/>
        <w:numPr>
          <w:ilvl w:val="0"/>
          <w:numId w:val="29"/>
        </w:numPr>
        <w:spacing w:line="360" w:lineRule="auto"/>
        <w:jc w:val="both"/>
        <w:rPr>
          <w:rFonts w:eastAsia="Calibri"/>
          <w:b/>
          <w:bCs/>
          <w:szCs w:val="36"/>
          <w:lang w:val="pt-PT"/>
        </w:rPr>
      </w:pPr>
      <w:r w:rsidRPr="00E3023F">
        <w:rPr>
          <w:rFonts w:eastAsia="Calibri"/>
          <w:b/>
          <w:bCs/>
          <w:szCs w:val="36"/>
          <w:lang w:val="pt-PT"/>
        </w:rPr>
        <w:t xml:space="preserve">Após </w:t>
      </w:r>
      <w:r w:rsidR="00A033DB" w:rsidRPr="00E3023F">
        <w:rPr>
          <w:rFonts w:eastAsia="Calibri"/>
          <w:b/>
          <w:bCs/>
          <w:szCs w:val="36"/>
          <w:lang w:val="pt-PT"/>
        </w:rPr>
        <w:t>cinco</w:t>
      </w:r>
      <w:r w:rsidRPr="00E3023F">
        <w:rPr>
          <w:rFonts w:eastAsia="Calibri"/>
          <w:b/>
          <w:bCs/>
          <w:szCs w:val="36"/>
          <w:lang w:val="pt-PT"/>
        </w:rPr>
        <w:t xml:space="preserve"> anos de inactividade, a conta é considerada dor</w:t>
      </w:r>
      <w:r w:rsidR="00292CA6" w:rsidRPr="00E3023F">
        <w:rPr>
          <w:rFonts w:eastAsia="Calibri"/>
          <w:b/>
          <w:bCs/>
          <w:szCs w:val="36"/>
          <w:lang w:val="pt-PT"/>
        </w:rPr>
        <w:t>mente</w:t>
      </w:r>
      <w:r w:rsidR="00F07EA3">
        <w:rPr>
          <w:rFonts w:eastAsia="Calibri"/>
          <w:b/>
          <w:bCs/>
          <w:szCs w:val="36"/>
          <w:lang w:val="pt-PT"/>
        </w:rPr>
        <w:t xml:space="preserve"> e</w:t>
      </w:r>
      <w:r w:rsidR="00847F09" w:rsidRPr="00E3023F">
        <w:rPr>
          <w:rFonts w:eastAsia="Calibri"/>
          <w:b/>
          <w:bCs/>
          <w:szCs w:val="36"/>
          <w:lang w:val="pt-PT"/>
        </w:rPr>
        <w:t xml:space="preserve"> </w:t>
      </w:r>
      <w:r w:rsidR="00292CA6" w:rsidRPr="00E3023F">
        <w:rPr>
          <w:rFonts w:eastAsia="Calibri"/>
          <w:b/>
          <w:bCs/>
          <w:szCs w:val="36"/>
          <w:lang w:val="pt-PT"/>
        </w:rPr>
        <w:t xml:space="preserve">os saldos </w:t>
      </w:r>
      <w:r w:rsidR="00F91310" w:rsidRPr="00E3023F">
        <w:rPr>
          <w:rFonts w:eastAsia="Calibri"/>
          <w:b/>
          <w:bCs/>
          <w:szCs w:val="36"/>
          <w:lang w:val="pt-PT"/>
        </w:rPr>
        <w:t xml:space="preserve">devem </w:t>
      </w:r>
      <w:r w:rsidR="00847F09" w:rsidRPr="00E3023F">
        <w:rPr>
          <w:rFonts w:eastAsia="Calibri"/>
          <w:b/>
          <w:bCs/>
          <w:szCs w:val="36"/>
          <w:lang w:val="pt-PT"/>
        </w:rPr>
        <w:t xml:space="preserve">ser transferidos para </w:t>
      </w:r>
      <w:r w:rsidR="00292CA6" w:rsidRPr="00E3023F">
        <w:rPr>
          <w:rFonts w:eastAsia="Calibri"/>
          <w:b/>
          <w:bCs/>
          <w:szCs w:val="36"/>
          <w:lang w:val="pt-PT"/>
        </w:rPr>
        <w:t xml:space="preserve">o </w:t>
      </w:r>
      <w:r w:rsidR="005560A9" w:rsidRPr="00E3023F">
        <w:rPr>
          <w:rFonts w:eastAsia="Calibri"/>
          <w:b/>
          <w:bCs/>
          <w:szCs w:val="36"/>
          <w:lang w:val="pt-PT"/>
        </w:rPr>
        <w:t xml:space="preserve">Fundo de Contas Dormentes, </w:t>
      </w:r>
      <w:r w:rsidR="00847F09" w:rsidRPr="00E3023F">
        <w:rPr>
          <w:rFonts w:eastAsia="Calibri"/>
          <w:b/>
          <w:bCs/>
          <w:szCs w:val="36"/>
          <w:lang w:val="pt-PT"/>
        </w:rPr>
        <w:t>criada e</w:t>
      </w:r>
      <w:r w:rsidR="00F46DBB" w:rsidRPr="00E3023F">
        <w:rPr>
          <w:rFonts w:eastAsia="Calibri"/>
          <w:b/>
          <w:bCs/>
          <w:szCs w:val="36"/>
          <w:lang w:val="pt-PT"/>
        </w:rPr>
        <w:t xml:space="preserve"> gerida pelo Banco de Moçambique.</w:t>
      </w:r>
    </w:p>
    <w:p w14:paraId="49E2E4CF" w14:textId="2CAD7B26" w:rsidR="00417D3D" w:rsidRPr="00E3023F" w:rsidRDefault="002C05DB" w:rsidP="00417D3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Calibri" w:eastAsia="Calibri" w:hAnsi="Calibri" w:cs="Calibri"/>
          <w:b/>
          <w:bCs/>
          <w:sz w:val="16"/>
          <w:szCs w:val="36"/>
          <w:lang w:val="pt-PT"/>
        </w:rPr>
      </w:pPr>
      <w:r w:rsidRPr="00E3023F">
        <w:rPr>
          <w:b/>
          <w:bCs/>
          <w:lang w:val="pt-PT"/>
        </w:rPr>
        <w:t>O Banco de Moça</w:t>
      </w:r>
      <w:r w:rsidR="00417D3D" w:rsidRPr="00E3023F">
        <w:rPr>
          <w:b/>
          <w:bCs/>
          <w:lang w:val="pt-PT"/>
        </w:rPr>
        <w:t>m</w:t>
      </w:r>
      <w:r w:rsidRPr="00E3023F">
        <w:rPr>
          <w:b/>
          <w:bCs/>
          <w:lang w:val="pt-PT"/>
        </w:rPr>
        <w:t xml:space="preserve">bique </w:t>
      </w:r>
      <w:r w:rsidR="00F07EA3">
        <w:rPr>
          <w:b/>
          <w:bCs/>
          <w:lang w:val="pt-PT"/>
        </w:rPr>
        <w:t>pode</w:t>
      </w:r>
      <w:r w:rsidRPr="00E3023F">
        <w:rPr>
          <w:b/>
          <w:bCs/>
          <w:lang w:val="pt-PT"/>
        </w:rPr>
        <w:t xml:space="preserve"> investir </w:t>
      </w:r>
      <w:r w:rsidR="00417D3D" w:rsidRPr="00E3023F">
        <w:rPr>
          <w:b/>
          <w:bCs/>
          <w:lang w:val="pt-PT"/>
        </w:rPr>
        <w:t>os saldos do</w:t>
      </w:r>
      <w:r w:rsidRPr="00E3023F">
        <w:rPr>
          <w:b/>
          <w:bCs/>
          <w:lang w:val="pt-PT"/>
        </w:rPr>
        <w:t xml:space="preserve"> </w:t>
      </w:r>
      <w:r w:rsidR="00417D3D" w:rsidRPr="00E3023F">
        <w:rPr>
          <w:b/>
          <w:bCs/>
          <w:lang w:val="pt-PT"/>
        </w:rPr>
        <w:t xml:space="preserve">Fundo de Contas Dormentes </w:t>
      </w:r>
      <w:r w:rsidRPr="00E3023F">
        <w:rPr>
          <w:b/>
          <w:bCs/>
          <w:lang w:val="pt-PT"/>
        </w:rPr>
        <w:t xml:space="preserve">em instrumentos seguros e de baixo risco, </w:t>
      </w:r>
      <w:r w:rsidR="00F91310" w:rsidRPr="00E3023F">
        <w:rPr>
          <w:b/>
          <w:bCs/>
          <w:lang w:val="pt-PT"/>
        </w:rPr>
        <w:t xml:space="preserve">com vista </w:t>
      </w:r>
      <w:r w:rsidRPr="00E3023F">
        <w:rPr>
          <w:b/>
          <w:bCs/>
          <w:lang w:val="pt-PT"/>
        </w:rPr>
        <w:t>a  preservar o capital e garantir liquidez para futuras reivindicações</w:t>
      </w:r>
      <w:r w:rsidR="00417D3D" w:rsidRPr="00E3023F">
        <w:rPr>
          <w:b/>
          <w:bCs/>
          <w:lang w:val="pt-PT"/>
        </w:rPr>
        <w:t>.</w:t>
      </w:r>
    </w:p>
    <w:p w14:paraId="2FE5CCAD" w14:textId="726278B1" w:rsidR="00417D3D" w:rsidRPr="00E3023F" w:rsidRDefault="00E91511" w:rsidP="00F6070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Calibri" w:eastAsia="Calibri" w:hAnsi="Calibri" w:cs="Calibri"/>
          <w:b/>
          <w:bCs/>
          <w:sz w:val="16"/>
          <w:szCs w:val="36"/>
          <w:lang w:val="pt-PT"/>
        </w:rPr>
      </w:pPr>
      <w:r w:rsidRPr="00E3023F">
        <w:rPr>
          <w:b/>
          <w:bCs/>
          <w:lang w:val="pt-PT"/>
        </w:rPr>
        <w:t>As contas podem ser reactivadas</w:t>
      </w:r>
      <w:r w:rsidR="000948B7" w:rsidRPr="00E3023F">
        <w:rPr>
          <w:b/>
          <w:bCs/>
          <w:lang w:val="pt-PT"/>
        </w:rPr>
        <w:t xml:space="preserve"> e o cliente ou seus herdeiros t</w:t>
      </w:r>
      <w:r w:rsidR="00F60701" w:rsidRPr="00E3023F">
        <w:rPr>
          <w:b/>
          <w:bCs/>
          <w:lang w:val="pt-PT"/>
        </w:rPr>
        <w:t>ê</w:t>
      </w:r>
      <w:r w:rsidR="000948B7" w:rsidRPr="00E3023F">
        <w:rPr>
          <w:b/>
          <w:bCs/>
          <w:lang w:val="pt-PT"/>
        </w:rPr>
        <w:t xml:space="preserve">m o direito de </w:t>
      </w:r>
      <w:r w:rsidR="000948B7" w:rsidRPr="00E3023F">
        <w:rPr>
          <w:rStyle w:val="Strong"/>
          <w:lang w:val="pt-PT"/>
        </w:rPr>
        <w:t>reivindicar os fundos a qualquer momento</w:t>
      </w:r>
      <w:r w:rsidR="000948B7" w:rsidRPr="00E3023F">
        <w:rPr>
          <w:b/>
          <w:bCs/>
          <w:lang w:val="pt-PT"/>
        </w:rPr>
        <w:t xml:space="preserve">, mediante comprovação de identidade e preenchimento de uma solicitação formal. </w:t>
      </w:r>
    </w:p>
    <w:p w14:paraId="7635AE07" w14:textId="02E4538A" w:rsidR="007E06BB" w:rsidRPr="00E3023F" w:rsidRDefault="00F91310" w:rsidP="00E3023F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  <w:bCs/>
          <w:lang w:val="pt-PT"/>
        </w:rPr>
      </w:pPr>
      <w:r w:rsidRPr="00E3023F">
        <w:rPr>
          <w:b/>
          <w:bCs/>
          <w:lang w:val="pt-PT"/>
        </w:rPr>
        <w:t>Os valores do Fundo de Contas Dormentes r</w:t>
      </w:r>
      <w:r w:rsidR="007E06BB" w:rsidRPr="00E3023F">
        <w:rPr>
          <w:b/>
          <w:bCs/>
          <w:lang w:val="pt-PT"/>
        </w:rPr>
        <w:t xml:space="preserve">evertem </w:t>
      </w:r>
      <w:r w:rsidR="008B5113">
        <w:rPr>
          <w:b/>
          <w:bCs/>
          <w:lang w:val="pt-PT"/>
        </w:rPr>
        <w:t>à</w:t>
      </w:r>
      <w:r w:rsidR="007E06BB" w:rsidRPr="00E3023F">
        <w:rPr>
          <w:b/>
          <w:bCs/>
          <w:lang w:val="pt-PT"/>
        </w:rPr>
        <w:t xml:space="preserve"> favor do Estado após 10 anos </w:t>
      </w:r>
      <w:r w:rsidR="001C263B" w:rsidRPr="00E3023F">
        <w:rPr>
          <w:b/>
          <w:bCs/>
          <w:lang w:val="pt-PT"/>
        </w:rPr>
        <w:t>sem que haja reactivação ou reclamação.</w:t>
      </w:r>
    </w:p>
    <w:p w14:paraId="2D20833F" w14:textId="77777777" w:rsidR="003C724E" w:rsidRPr="00E3023F" w:rsidRDefault="003C724E" w:rsidP="00E3023F">
      <w:pPr>
        <w:pStyle w:val="ListParagraph"/>
        <w:spacing w:line="360" w:lineRule="auto"/>
        <w:jc w:val="both"/>
        <w:rPr>
          <w:rFonts w:ascii="Calibri" w:eastAsia="Calibri" w:hAnsi="Calibri" w:cs="Calibri"/>
          <w:b/>
          <w:bCs/>
          <w:sz w:val="16"/>
          <w:szCs w:val="36"/>
          <w:lang w:val="pt-PT"/>
        </w:rPr>
      </w:pPr>
    </w:p>
    <w:p w14:paraId="2F66054F" w14:textId="6846B1E0" w:rsidR="00CB6566" w:rsidRPr="00E3023F" w:rsidRDefault="00BF56C6" w:rsidP="00AF621E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CAPÍTULO I</w:t>
      </w:r>
      <w:r w:rsidR="007C534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II</w:t>
      </w:r>
    </w:p>
    <w:p w14:paraId="3728F897" w14:textId="7B22D97B" w:rsidR="00BF56C6" w:rsidRPr="00E3023F" w:rsidRDefault="00BF56C6" w:rsidP="00AF621E">
      <w:pPr>
        <w:spacing w:line="360" w:lineRule="auto"/>
        <w:ind w:left="0" w:firstLine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DISPOSIÇÕES </w:t>
      </w:r>
      <w:r w:rsidR="007C534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TRANSITÓRIAS E 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FINAIS</w:t>
      </w:r>
      <w:r w:rsidR="007C534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</w:t>
      </w:r>
    </w:p>
    <w:p w14:paraId="779CF1A3" w14:textId="77777777" w:rsidR="00CB6566" w:rsidRPr="00E3023F" w:rsidRDefault="00CB6566" w:rsidP="00F07EA3">
      <w:pPr>
        <w:spacing w:line="360" w:lineRule="auto"/>
        <w:ind w:left="0"/>
        <w:rPr>
          <w:b/>
          <w:bCs/>
          <w:color w:val="auto"/>
          <w:lang w:val="pt-PT"/>
        </w:rPr>
      </w:pPr>
    </w:p>
    <w:p w14:paraId="4CA9BB3C" w14:textId="74183704" w:rsidR="007C534B" w:rsidRPr="00E3023F" w:rsidRDefault="007C534B" w:rsidP="007C534B">
      <w:pPr>
        <w:ind w:left="0" w:firstLine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15</w:t>
      </w:r>
    </w:p>
    <w:p w14:paraId="2680DE04" w14:textId="77777777" w:rsidR="007C534B" w:rsidRPr="00E3023F" w:rsidRDefault="007C534B" w:rsidP="007C534B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Regime transitório</w:t>
      </w:r>
    </w:p>
    <w:p w14:paraId="38D2048A" w14:textId="3B924E94" w:rsidR="007C534B" w:rsidRPr="00E3023F" w:rsidRDefault="007C534B" w:rsidP="007C534B">
      <w:pPr>
        <w:pStyle w:val="ListParagraph"/>
        <w:numPr>
          <w:ilvl w:val="0"/>
          <w:numId w:val="27"/>
        </w:numPr>
        <w:spacing w:line="360" w:lineRule="auto"/>
        <w:jc w:val="both"/>
        <w:rPr>
          <w:b/>
          <w:bCs/>
          <w:szCs w:val="36"/>
          <w:lang w:val="pt-PT"/>
        </w:rPr>
      </w:pPr>
      <w:r w:rsidRPr="00E3023F">
        <w:rPr>
          <w:b/>
          <w:bCs/>
          <w:szCs w:val="36"/>
          <w:lang w:val="pt-PT"/>
        </w:rPr>
        <w:t>O</w:t>
      </w:r>
      <w:r w:rsidR="008B5113">
        <w:rPr>
          <w:b/>
          <w:bCs/>
          <w:szCs w:val="36"/>
          <w:lang w:val="pt-PT"/>
        </w:rPr>
        <w:t xml:space="preserve"> saldo</w:t>
      </w:r>
      <w:r w:rsidRPr="00E3023F">
        <w:rPr>
          <w:b/>
          <w:bCs/>
          <w:szCs w:val="36"/>
          <w:lang w:val="pt-PT"/>
        </w:rPr>
        <w:t xml:space="preserve"> dos juros acumulado à data da entrada em vigor </w:t>
      </w:r>
      <w:r w:rsidR="00DF76CD">
        <w:rPr>
          <w:b/>
          <w:bCs/>
          <w:szCs w:val="36"/>
          <w:lang w:val="pt-PT"/>
        </w:rPr>
        <w:t xml:space="preserve">do presente Aviso </w:t>
      </w:r>
      <w:r w:rsidRPr="00E3023F">
        <w:rPr>
          <w:b/>
          <w:bCs/>
          <w:szCs w:val="36"/>
          <w:lang w:val="pt-PT"/>
        </w:rPr>
        <w:t xml:space="preserve">deve ser contabilizado </w:t>
      </w:r>
      <w:r w:rsidR="008B5113">
        <w:rPr>
          <w:b/>
          <w:bCs/>
          <w:szCs w:val="36"/>
          <w:lang w:val="pt-PT"/>
        </w:rPr>
        <w:t>n</w:t>
      </w:r>
      <w:r w:rsidRPr="00E3023F">
        <w:rPr>
          <w:b/>
          <w:bCs/>
          <w:szCs w:val="36"/>
          <w:lang w:val="pt-PT"/>
        </w:rPr>
        <w:t xml:space="preserve">uma conta separada e </w:t>
      </w:r>
      <w:r w:rsidR="00A033DB" w:rsidRPr="00E3023F">
        <w:rPr>
          <w:b/>
          <w:bCs/>
          <w:szCs w:val="36"/>
          <w:lang w:val="pt-PT"/>
        </w:rPr>
        <w:t>devem ser</w:t>
      </w:r>
      <w:r w:rsidRPr="00E3023F">
        <w:rPr>
          <w:b/>
          <w:bCs/>
          <w:szCs w:val="36"/>
          <w:lang w:val="pt-PT"/>
        </w:rPr>
        <w:t xml:space="preserve"> </w:t>
      </w:r>
      <w:r w:rsidR="00A033DB" w:rsidRPr="00E3023F">
        <w:rPr>
          <w:b/>
          <w:bCs/>
          <w:szCs w:val="36"/>
          <w:lang w:val="pt-PT"/>
        </w:rPr>
        <w:t>aplicados</w:t>
      </w:r>
      <w:r w:rsidRPr="00E3023F">
        <w:rPr>
          <w:b/>
          <w:bCs/>
          <w:szCs w:val="36"/>
          <w:lang w:val="pt-PT"/>
        </w:rPr>
        <w:t xml:space="preserve"> de acordo com as instruções abaixo:</w:t>
      </w:r>
    </w:p>
    <w:p w14:paraId="6C04E7BD" w14:textId="1C59EDBA" w:rsidR="007C534B" w:rsidRPr="00E3023F" w:rsidRDefault="007C534B" w:rsidP="007C534B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bCs/>
          <w:szCs w:val="36"/>
          <w:lang w:val="pt-PT"/>
        </w:rPr>
      </w:pPr>
      <w:r w:rsidRPr="00E3023F">
        <w:rPr>
          <w:b/>
          <w:bCs/>
          <w:szCs w:val="36"/>
          <w:lang w:val="pt-PT"/>
        </w:rPr>
        <w:lastRenderedPageBreak/>
        <w:t xml:space="preserve">10% para a introdução de inovação e modernização dos serviços prestados </w:t>
      </w:r>
      <w:r w:rsidR="008B5113">
        <w:rPr>
          <w:b/>
          <w:bCs/>
          <w:szCs w:val="36"/>
          <w:lang w:val="pt-PT"/>
        </w:rPr>
        <w:t xml:space="preserve">pelas instituições de moeda electrónica </w:t>
      </w:r>
      <w:r w:rsidRPr="00E3023F">
        <w:rPr>
          <w:b/>
          <w:bCs/>
          <w:szCs w:val="36"/>
          <w:lang w:val="pt-PT"/>
        </w:rPr>
        <w:t>em benefício dos clientes;</w:t>
      </w:r>
    </w:p>
    <w:p w14:paraId="133B340D" w14:textId="40092450" w:rsidR="007C534B" w:rsidRPr="00E3023F" w:rsidRDefault="007C534B" w:rsidP="007C534B">
      <w:pPr>
        <w:pStyle w:val="ListParagraph"/>
        <w:numPr>
          <w:ilvl w:val="0"/>
          <w:numId w:val="28"/>
        </w:numPr>
        <w:spacing w:line="360" w:lineRule="auto"/>
        <w:jc w:val="both"/>
        <w:rPr>
          <w:b/>
          <w:bCs/>
          <w:szCs w:val="36"/>
          <w:lang w:val="pt-PT"/>
        </w:rPr>
      </w:pPr>
      <w:r w:rsidRPr="00E3023F">
        <w:rPr>
          <w:b/>
          <w:bCs/>
          <w:szCs w:val="36"/>
          <w:lang w:val="pt-PT"/>
        </w:rPr>
        <w:t>90% de acordo com as orientações do Banco de Moçambique</w:t>
      </w:r>
      <w:r w:rsidR="00D51EBC" w:rsidRPr="00E3023F">
        <w:rPr>
          <w:b/>
          <w:bCs/>
          <w:szCs w:val="36"/>
          <w:lang w:val="pt-PT"/>
        </w:rPr>
        <w:t>.</w:t>
      </w:r>
    </w:p>
    <w:p w14:paraId="614889E6" w14:textId="165A3A7F" w:rsidR="007C534B" w:rsidRPr="00E3023F" w:rsidRDefault="007C534B" w:rsidP="007C534B">
      <w:pPr>
        <w:pStyle w:val="ListParagraph"/>
        <w:numPr>
          <w:ilvl w:val="0"/>
          <w:numId w:val="27"/>
        </w:numPr>
        <w:spacing w:line="360" w:lineRule="auto"/>
        <w:jc w:val="both"/>
        <w:rPr>
          <w:b/>
          <w:bCs/>
          <w:szCs w:val="36"/>
          <w:lang w:val="pt-PT"/>
        </w:rPr>
      </w:pPr>
      <w:bookmarkStart w:id="4" w:name="_Hlk177723343"/>
      <w:r w:rsidRPr="00E3023F">
        <w:rPr>
          <w:b/>
          <w:bCs/>
          <w:szCs w:val="36"/>
          <w:lang w:val="pt-PT"/>
        </w:rPr>
        <w:t xml:space="preserve">Para efeitos do disposto </w:t>
      </w:r>
      <w:r w:rsidR="00DF76CD">
        <w:rPr>
          <w:b/>
          <w:bCs/>
          <w:szCs w:val="36"/>
          <w:lang w:val="pt-PT"/>
        </w:rPr>
        <w:t>na alínea a) d</w:t>
      </w:r>
      <w:r w:rsidRPr="00E3023F">
        <w:rPr>
          <w:b/>
          <w:bCs/>
          <w:szCs w:val="36"/>
          <w:lang w:val="pt-PT"/>
        </w:rPr>
        <w:t xml:space="preserve">o número anterior, as instituições de moeda electrónica devem submeter os relatórios detalhados de </w:t>
      </w:r>
      <w:r w:rsidR="00D51EBC" w:rsidRPr="00E3023F">
        <w:rPr>
          <w:b/>
          <w:bCs/>
          <w:szCs w:val="36"/>
          <w:lang w:val="pt-PT"/>
        </w:rPr>
        <w:t>aplicação ou utilização</w:t>
      </w:r>
      <w:r w:rsidRPr="00E3023F">
        <w:rPr>
          <w:b/>
          <w:bCs/>
          <w:szCs w:val="36"/>
          <w:lang w:val="pt-PT"/>
        </w:rPr>
        <w:t xml:space="preserve"> dos fundos.</w:t>
      </w:r>
      <w:bookmarkEnd w:id="4"/>
    </w:p>
    <w:p w14:paraId="5D911339" w14:textId="77777777" w:rsidR="00D51565" w:rsidRPr="00E3023F" w:rsidRDefault="00D51565" w:rsidP="007C534B">
      <w:pPr>
        <w:pStyle w:val="ListParagraph"/>
        <w:spacing w:line="360" w:lineRule="auto"/>
        <w:ind w:left="0"/>
        <w:jc w:val="center"/>
        <w:rPr>
          <w:b/>
          <w:bCs/>
          <w:lang w:val="pt-PT"/>
        </w:rPr>
      </w:pPr>
    </w:p>
    <w:p w14:paraId="20EF0E93" w14:textId="421FEB42" w:rsidR="007C534B" w:rsidRPr="00E3023F" w:rsidRDefault="007C534B" w:rsidP="007C534B">
      <w:pPr>
        <w:pStyle w:val="ListParagraph"/>
        <w:spacing w:line="360" w:lineRule="auto"/>
        <w:ind w:left="0"/>
        <w:jc w:val="center"/>
        <w:rPr>
          <w:b/>
          <w:bCs/>
          <w:lang w:val="pt-PT"/>
        </w:rPr>
      </w:pPr>
      <w:r w:rsidRPr="00E3023F">
        <w:rPr>
          <w:b/>
          <w:bCs/>
          <w:lang w:val="pt-PT"/>
        </w:rPr>
        <w:t>Artigo 16</w:t>
      </w:r>
    </w:p>
    <w:p w14:paraId="0E0ED800" w14:textId="77777777" w:rsidR="007C534B" w:rsidRPr="00E3023F" w:rsidRDefault="007C534B" w:rsidP="007C534B">
      <w:pPr>
        <w:pStyle w:val="ListParagraph"/>
        <w:spacing w:line="360" w:lineRule="auto"/>
        <w:ind w:left="0"/>
        <w:jc w:val="center"/>
        <w:rPr>
          <w:b/>
          <w:bCs/>
          <w:lang w:val="pt-PT"/>
        </w:rPr>
      </w:pPr>
      <w:r w:rsidRPr="00E3023F">
        <w:rPr>
          <w:b/>
          <w:bCs/>
          <w:lang w:val="pt-PT"/>
        </w:rPr>
        <w:t>Dever de informação</w:t>
      </w:r>
    </w:p>
    <w:p w14:paraId="6A812D1F" w14:textId="7A4BA1D8" w:rsidR="007C534B" w:rsidRPr="00E3023F" w:rsidRDefault="007C534B" w:rsidP="007C534B">
      <w:pPr>
        <w:spacing w:line="360" w:lineRule="auto"/>
        <w:ind w:left="-10" w:firstLine="0"/>
        <w:jc w:val="both"/>
        <w:rPr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As instituições de moeda electrónica e os bancos que </w:t>
      </w:r>
      <w:r w:rsidRPr="008B5113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domicili</w:t>
      </w:r>
      <w:r w:rsidR="008B5113" w:rsidRPr="008B5113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</w:t>
      </w:r>
      <w:r w:rsidRPr="008B5113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m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 as contas fiduciárias devem prestar informação ao Banco de Moçambique, nas condições e periodicidade que vier a fixar por Circular. 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cr/>
      </w:r>
    </w:p>
    <w:p w14:paraId="39D59C36" w14:textId="330C1799" w:rsidR="00BF56C6" w:rsidRPr="00E3023F" w:rsidRDefault="00BF56C6" w:rsidP="00D51565">
      <w:pPr>
        <w:spacing w:line="360" w:lineRule="auto"/>
        <w:ind w:left="1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</w:t>
      </w:r>
      <w:r w:rsidR="007C534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7</w:t>
      </w:r>
    </w:p>
    <w:p w14:paraId="52D697E9" w14:textId="77777777" w:rsidR="00BF56C6" w:rsidRPr="00E3023F" w:rsidRDefault="00BF56C6" w:rsidP="00D51565">
      <w:pPr>
        <w:spacing w:line="360" w:lineRule="auto"/>
        <w:ind w:left="1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Adaptação dos contratos e limites à concentração de fundos</w:t>
      </w:r>
    </w:p>
    <w:p w14:paraId="1883CD1D" w14:textId="7E7AE46E" w:rsidR="00BF56C6" w:rsidRPr="00E3023F" w:rsidRDefault="00BF56C6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As instituições de moeda </w:t>
      </w:r>
      <w:r w:rsidR="00CB6524"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electrónica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 e</w:t>
      </w:r>
      <w:r w:rsidR="0084230D"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 </w:t>
      </w:r>
      <w:r w:rsidR="0084230D" w:rsidRPr="008B5113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bancos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 devem adaptar os contratos de abertura de conta fiduciária e os limites à concentração de depósito de fundos nas contas fiduciárias ao regime estabelecido no presente Aviso, no prazo de </w:t>
      </w:r>
      <w:r w:rsidR="00D00F2A"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180 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dias a contar da data da sua entrada em vigor.</w:t>
      </w:r>
    </w:p>
    <w:p w14:paraId="076DECA9" w14:textId="77777777" w:rsidR="00CB6566" w:rsidRPr="00E3023F" w:rsidRDefault="00CB6566" w:rsidP="00D5156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</w:p>
    <w:p w14:paraId="1360A096" w14:textId="419D11D7" w:rsidR="00BF56C6" w:rsidRPr="00E3023F" w:rsidRDefault="00BF56C6" w:rsidP="00D51565">
      <w:pPr>
        <w:ind w:left="0" w:firstLine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 1</w:t>
      </w:r>
      <w:r w:rsidR="007C534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8</w:t>
      </w:r>
    </w:p>
    <w:p w14:paraId="4BB94671" w14:textId="41C24F47" w:rsidR="00CB6566" w:rsidRPr="00E3023F" w:rsidRDefault="00BF56C6" w:rsidP="00D51565">
      <w:pPr>
        <w:ind w:left="0" w:firstLine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Regime sancionatório</w:t>
      </w:r>
    </w:p>
    <w:p w14:paraId="2226775B" w14:textId="591BEF16" w:rsidR="00BF56C6" w:rsidRPr="00E3023F" w:rsidRDefault="00BF56C6" w:rsidP="00D51565">
      <w:pPr>
        <w:spacing w:line="360" w:lineRule="auto"/>
        <w:ind w:left="0"/>
        <w:jc w:val="both"/>
        <w:rPr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A violação do disposto no presente Avi</w:t>
      </w:r>
      <w:r w:rsidR="00CB6524"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s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o constitui contravenção </w:t>
      </w:r>
      <w:r w:rsidR="00CB6524"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punível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 nos termos da Lei do Sistema </w:t>
      </w:r>
      <w:r w:rsidR="00CB6524"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>Nacional</w:t>
      </w:r>
      <w:r w:rsidRPr="00E3023F">
        <w:rPr>
          <w:rFonts w:ascii="Times New Roman" w:hAnsi="Times New Roman" w:cs="Times New Roman"/>
          <w:color w:val="auto"/>
          <w:sz w:val="24"/>
          <w:szCs w:val="36"/>
          <w:lang w:val="pt-PT"/>
        </w:rPr>
        <w:t xml:space="preserve"> de Pagamentos.</w:t>
      </w:r>
    </w:p>
    <w:p w14:paraId="0B237773" w14:textId="77777777" w:rsidR="00CB6566" w:rsidRPr="00E3023F" w:rsidRDefault="00CB6566" w:rsidP="00D51565">
      <w:pPr>
        <w:spacing w:line="360" w:lineRule="auto"/>
        <w:ind w:left="0" w:firstLine="0"/>
        <w:jc w:val="both"/>
        <w:rPr>
          <w:color w:val="auto"/>
          <w:szCs w:val="36"/>
          <w:lang w:val="pt-PT"/>
        </w:rPr>
      </w:pPr>
    </w:p>
    <w:p w14:paraId="38BD92CF" w14:textId="7854CF0B" w:rsidR="00BF56C6" w:rsidRPr="00E3023F" w:rsidRDefault="00CB6524" w:rsidP="00CB656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Artigo</w:t>
      </w:r>
      <w:r w:rsidR="00BF56C6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 1</w:t>
      </w:r>
      <w:r w:rsidR="007C534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9</w:t>
      </w:r>
    </w:p>
    <w:p w14:paraId="06700556" w14:textId="48F3E1CE" w:rsidR="00CB6566" w:rsidRPr="00E3023F" w:rsidRDefault="00CB6566" w:rsidP="00CB6566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Revogação</w:t>
      </w:r>
    </w:p>
    <w:p w14:paraId="370CC014" w14:textId="3F9B7D39" w:rsidR="00CB6566" w:rsidRPr="00E3023F" w:rsidRDefault="00CB6566" w:rsidP="00CB6566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É revogado o Aviso n.º 6/GBM/2015, de 31 de Dezembro.</w:t>
      </w:r>
    </w:p>
    <w:p w14:paraId="2B2BB968" w14:textId="77777777" w:rsidR="00CB6566" w:rsidRPr="00E3023F" w:rsidRDefault="00CB6566" w:rsidP="00CB6566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36"/>
          <w:lang w:val="pt-PT"/>
        </w:rPr>
      </w:pPr>
    </w:p>
    <w:p w14:paraId="5D9785E1" w14:textId="5E1B6EA9" w:rsidR="00CB6566" w:rsidRPr="00E3023F" w:rsidRDefault="00CB6566" w:rsidP="00D51565">
      <w:pPr>
        <w:spacing w:line="360" w:lineRule="auto"/>
        <w:ind w:left="0" w:firstLine="0"/>
        <w:jc w:val="center"/>
        <w:rPr>
          <w:b/>
          <w:bCs/>
          <w:color w:val="auto"/>
          <w:szCs w:val="36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 xml:space="preserve">Artigo </w:t>
      </w:r>
      <w:r w:rsidR="007C534B" w:rsidRPr="00E3023F">
        <w:rPr>
          <w:rFonts w:ascii="Times New Roman" w:hAnsi="Times New Roman" w:cs="Times New Roman"/>
          <w:b/>
          <w:bCs/>
          <w:color w:val="auto"/>
          <w:sz w:val="24"/>
          <w:szCs w:val="36"/>
          <w:lang w:val="pt-PT"/>
        </w:rPr>
        <w:t>20</w:t>
      </w:r>
    </w:p>
    <w:p w14:paraId="5BB5E43E" w14:textId="479A0951" w:rsidR="00BF56C6" w:rsidRPr="00E3023F" w:rsidRDefault="00BF56C6" w:rsidP="00D51565">
      <w:pPr>
        <w:spacing w:line="360" w:lineRule="auto"/>
        <w:ind w:left="0" w:firstLine="0"/>
        <w:jc w:val="center"/>
        <w:rPr>
          <w:b/>
          <w:bCs/>
          <w:color w:val="auto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Esclarecimento de dúvidas</w:t>
      </w:r>
    </w:p>
    <w:p w14:paraId="6A7C37EF" w14:textId="54A7E73C" w:rsidR="00BF56C6" w:rsidRPr="00E3023F" w:rsidRDefault="00BF56C6" w:rsidP="00D51565">
      <w:pPr>
        <w:spacing w:line="360" w:lineRule="auto"/>
        <w:ind w:left="0"/>
        <w:jc w:val="both"/>
        <w:rPr>
          <w:color w:val="auto"/>
          <w:lang w:val="pt-PT"/>
        </w:rPr>
      </w:pPr>
      <w:r w:rsidRPr="00E3023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As dúvidas </w:t>
      </w:r>
      <w:r w:rsidR="00CB6566" w:rsidRPr="00E3023F">
        <w:rPr>
          <w:rFonts w:ascii="Times New Roman" w:hAnsi="Times New Roman" w:cs="Times New Roman"/>
          <w:color w:val="auto"/>
          <w:sz w:val="24"/>
          <w:szCs w:val="24"/>
          <w:lang w:val="pt-PT"/>
        </w:rPr>
        <w:t>n</w:t>
      </w:r>
      <w:r w:rsidRPr="00E3023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a interpretação e aplicação deste Aviso devem ser submetidas ao 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Departamento de</w:t>
      </w:r>
      <w:r w:rsidR="008B5113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Serviços Bancários e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Sistema</w:t>
      </w:r>
      <w:r w:rsidR="00FD7904"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s</w:t>
      </w:r>
      <w:r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de Pagamento</w:t>
      </w:r>
      <w:r w:rsidRPr="00E3023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do Banco de Moçambique.</w:t>
      </w:r>
    </w:p>
    <w:p w14:paraId="278E4C94" w14:textId="77777777" w:rsidR="00BF56C6" w:rsidRPr="00E3023F" w:rsidRDefault="00BF56C6" w:rsidP="00182905">
      <w:p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1E6841C9" w14:textId="6724D5F3" w:rsidR="002025C8" w:rsidRPr="00E3023F" w:rsidRDefault="00BF56C6" w:rsidP="00E3023F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lastRenderedPageBreak/>
        <w:t>ANEXO</w:t>
      </w:r>
    </w:p>
    <w:p w14:paraId="4F8098F7" w14:textId="568575D8" w:rsidR="00BF56C6" w:rsidRPr="00E3023F" w:rsidRDefault="00BF56C6" w:rsidP="00BF56C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  <w:r w:rsidRPr="00E3023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GLOSSÁRIO</w:t>
      </w:r>
    </w:p>
    <w:p w14:paraId="3107F55C" w14:textId="77777777" w:rsidR="00CB6566" w:rsidRPr="00E3023F" w:rsidRDefault="00CB6566" w:rsidP="00BF56C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</w:pPr>
    </w:p>
    <w:p w14:paraId="72F43260" w14:textId="148497EE" w:rsidR="00BF56C6" w:rsidRPr="00E3023F" w:rsidRDefault="00BF56C6" w:rsidP="00BF56C6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E3023F">
        <w:rPr>
          <w:rFonts w:ascii="Times New Roman" w:hAnsi="Times New Roman" w:cs="Times New Roman"/>
          <w:color w:val="auto"/>
          <w:sz w:val="24"/>
          <w:szCs w:val="24"/>
          <w:lang w:val="pt-PT"/>
        </w:rPr>
        <w:t>Para efeitos do presente Aviso entende-se por:</w:t>
      </w:r>
    </w:p>
    <w:p w14:paraId="43EC6150" w14:textId="77777777" w:rsidR="00CB6566" w:rsidRPr="00E3023F" w:rsidRDefault="00CB6566" w:rsidP="00CB6566">
      <w:pPr>
        <w:ind w:left="0" w:firstLine="0"/>
        <w:rPr>
          <w:rFonts w:ascii="Times New Roman" w:hAnsi="Times New Roman" w:cs="Times New Roman"/>
          <w:color w:val="auto"/>
          <w:sz w:val="24"/>
          <w:szCs w:val="36"/>
          <w:lang w:val="pt-PT"/>
        </w:rPr>
      </w:pPr>
    </w:p>
    <w:p w14:paraId="7F87F1F4" w14:textId="051FF21E" w:rsidR="00A41C41" w:rsidRPr="00E3023F" w:rsidRDefault="00A41C41" w:rsidP="00CB6566">
      <w:pPr>
        <w:pStyle w:val="ListParagraph"/>
        <w:numPr>
          <w:ilvl w:val="0"/>
          <w:numId w:val="26"/>
        </w:numPr>
        <w:spacing w:line="360" w:lineRule="auto"/>
        <w:jc w:val="both"/>
        <w:rPr>
          <w:szCs w:val="36"/>
          <w:lang w:val="pt-PT"/>
        </w:rPr>
      </w:pPr>
      <w:r w:rsidRPr="00E3023F">
        <w:rPr>
          <w:b/>
          <w:bCs/>
          <w:szCs w:val="36"/>
          <w:lang w:val="pt-PT"/>
        </w:rPr>
        <w:t>Banco:</w:t>
      </w:r>
      <w:r w:rsidRPr="00E3023F">
        <w:rPr>
          <w:szCs w:val="36"/>
          <w:lang w:val="pt-PT"/>
        </w:rPr>
        <w:t xml:space="preserve"> </w:t>
      </w:r>
      <w:r w:rsidRPr="00E3023F">
        <w:rPr>
          <w:lang w:val="pt-PT"/>
        </w:rPr>
        <w:t xml:space="preserve"> instituição de crédito autorizada a exercer as actividades previstas no artigo 5 da Lei n.º 20/2020, de 31 de Dezembro - Lei das Instituições de Crédito e Sociedades Financeiras</w:t>
      </w:r>
      <w:r w:rsidRPr="00E3023F">
        <w:rPr>
          <w:szCs w:val="36"/>
          <w:lang w:val="pt-PT"/>
        </w:rPr>
        <w:t>;</w:t>
      </w:r>
    </w:p>
    <w:p w14:paraId="2A6D9244" w14:textId="77777777" w:rsidR="00A41C41" w:rsidRPr="00E3023F" w:rsidRDefault="00A41C41" w:rsidP="00D51565">
      <w:pPr>
        <w:pStyle w:val="ListParagraph"/>
        <w:spacing w:line="360" w:lineRule="auto"/>
        <w:ind w:left="360"/>
        <w:jc w:val="both"/>
        <w:rPr>
          <w:szCs w:val="36"/>
          <w:lang w:val="pt-PT"/>
        </w:rPr>
      </w:pPr>
    </w:p>
    <w:p w14:paraId="43700C51" w14:textId="2C08948D" w:rsidR="00CB6566" w:rsidRPr="00E3023F" w:rsidRDefault="00BF56C6" w:rsidP="00CB6566">
      <w:pPr>
        <w:pStyle w:val="ListParagraph"/>
        <w:numPr>
          <w:ilvl w:val="0"/>
          <w:numId w:val="26"/>
        </w:numPr>
        <w:spacing w:line="360" w:lineRule="auto"/>
        <w:jc w:val="both"/>
        <w:rPr>
          <w:szCs w:val="36"/>
          <w:lang w:val="pt-PT"/>
        </w:rPr>
      </w:pPr>
      <w:r w:rsidRPr="00E3023F">
        <w:rPr>
          <w:b/>
          <w:bCs/>
          <w:szCs w:val="36"/>
          <w:lang w:val="pt-PT"/>
        </w:rPr>
        <w:t>Beneficiários de moeda electrónica</w:t>
      </w:r>
      <w:r w:rsidRPr="00E3023F">
        <w:rPr>
          <w:szCs w:val="36"/>
          <w:lang w:val="pt-PT"/>
        </w:rPr>
        <w:t>: pessoas singulares ou colectivas que aceitam a moeda electrónica como meio de pagamento pela prestação de serviços e fornecimento de bens</w:t>
      </w:r>
      <w:r w:rsidR="00CB6566" w:rsidRPr="00E3023F">
        <w:rPr>
          <w:szCs w:val="36"/>
          <w:lang w:val="pt-PT"/>
        </w:rPr>
        <w:t>;</w:t>
      </w:r>
    </w:p>
    <w:p w14:paraId="046A48A9" w14:textId="77777777" w:rsidR="00CB6566" w:rsidRPr="00E3023F" w:rsidRDefault="00CB6566" w:rsidP="0015753C">
      <w:pPr>
        <w:spacing w:line="360" w:lineRule="auto"/>
        <w:ind w:left="0" w:firstLine="0"/>
        <w:jc w:val="both"/>
        <w:rPr>
          <w:color w:val="auto"/>
          <w:szCs w:val="36"/>
          <w:lang w:val="pt-PT"/>
        </w:rPr>
      </w:pPr>
    </w:p>
    <w:p w14:paraId="52C2637F" w14:textId="0D620A4C" w:rsidR="00D00F2A" w:rsidRPr="00E3023F" w:rsidRDefault="00FD7904" w:rsidP="00CB6566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>Conta de moeda elect</w:t>
      </w:r>
      <w:r w:rsidR="00CB6566" w:rsidRPr="00E3023F">
        <w:rPr>
          <w:b/>
          <w:bCs/>
          <w:lang w:val="pt-PT"/>
        </w:rPr>
        <w:t>r</w:t>
      </w:r>
      <w:r w:rsidRPr="00E3023F">
        <w:rPr>
          <w:b/>
          <w:bCs/>
          <w:lang w:val="pt-PT"/>
        </w:rPr>
        <w:t>ónica inactiva</w:t>
      </w:r>
      <w:r w:rsidRPr="00E3023F">
        <w:rPr>
          <w:lang w:val="pt-PT"/>
        </w:rPr>
        <w:t xml:space="preserve">: conta </w:t>
      </w:r>
      <w:r w:rsidR="00404F00" w:rsidRPr="00E3023F">
        <w:rPr>
          <w:lang w:val="pt-PT"/>
        </w:rPr>
        <w:t xml:space="preserve">sem registo de movimentos de moeda electrónica </w:t>
      </w:r>
      <w:r w:rsidRPr="00E3023F">
        <w:rPr>
          <w:lang w:val="pt-PT"/>
        </w:rPr>
        <w:t>por um período superior a</w:t>
      </w:r>
      <w:r w:rsidR="00D01059" w:rsidRPr="00E3023F">
        <w:rPr>
          <w:lang w:val="pt-PT"/>
        </w:rPr>
        <w:t xml:space="preserve"> </w:t>
      </w:r>
      <w:r w:rsidR="008B5113">
        <w:rPr>
          <w:lang w:val="pt-PT"/>
        </w:rPr>
        <w:t>doze</w:t>
      </w:r>
      <w:r w:rsidR="00D01059" w:rsidRPr="00E3023F">
        <w:rPr>
          <w:lang w:val="pt-PT"/>
        </w:rPr>
        <w:t xml:space="preserve"> meses</w:t>
      </w:r>
      <w:r w:rsidR="00404F00" w:rsidRPr="00E3023F">
        <w:rPr>
          <w:lang w:val="pt-PT"/>
        </w:rPr>
        <w:t>, excluindo os movimentos a crédito resultantes de juros recebidos</w:t>
      </w:r>
      <w:r w:rsidR="00CB6566" w:rsidRPr="00E3023F">
        <w:rPr>
          <w:lang w:val="pt-PT"/>
        </w:rPr>
        <w:t>;</w:t>
      </w:r>
    </w:p>
    <w:p w14:paraId="6E4ADB97" w14:textId="77777777" w:rsidR="00D00F2A" w:rsidRPr="00E3023F" w:rsidRDefault="00D00F2A" w:rsidP="00D51565">
      <w:pPr>
        <w:pStyle w:val="ListParagraph"/>
        <w:spacing w:line="360" w:lineRule="auto"/>
        <w:ind w:left="360"/>
        <w:jc w:val="both"/>
        <w:rPr>
          <w:lang w:val="pt-PT"/>
        </w:rPr>
      </w:pPr>
    </w:p>
    <w:p w14:paraId="51A92E9F" w14:textId="7A421772" w:rsidR="00BA4D8E" w:rsidRPr="00E3023F" w:rsidRDefault="00BA4D8E" w:rsidP="00CB6566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>Conta de moeda electrónica dormente:</w:t>
      </w:r>
      <w:r w:rsidRPr="00E3023F">
        <w:rPr>
          <w:lang w:val="pt-PT"/>
        </w:rPr>
        <w:t xml:space="preserve"> conta sem registo de movimentos de moeda electrónica por um período superior a </w:t>
      </w:r>
      <w:r w:rsidR="008B5113">
        <w:rPr>
          <w:lang w:val="pt-PT"/>
        </w:rPr>
        <w:t>cinco</w:t>
      </w:r>
      <w:r w:rsidRPr="00E3023F">
        <w:rPr>
          <w:lang w:val="pt-PT"/>
        </w:rPr>
        <w:t xml:space="preserve"> anos</w:t>
      </w:r>
      <w:r w:rsidR="00614FFF" w:rsidRPr="00E3023F">
        <w:rPr>
          <w:lang w:val="pt-PT"/>
        </w:rPr>
        <w:t>, excluindo os movimentos a crédito resultantes de juros recebidos</w:t>
      </w:r>
      <w:r w:rsidR="008B5113">
        <w:rPr>
          <w:lang w:val="pt-PT"/>
        </w:rPr>
        <w:t>;</w:t>
      </w:r>
    </w:p>
    <w:p w14:paraId="539BFCFE" w14:textId="77777777" w:rsidR="00CB6566" w:rsidRPr="00E3023F" w:rsidRDefault="00CB6566" w:rsidP="00D51565">
      <w:pPr>
        <w:pStyle w:val="ListParagraph"/>
        <w:spacing w:line="360" w:lineRule="auto"/>
        <w:ind w:left="360"/>
        <w:jc w:val="both"/>
        <w:rPr>
          <w:lang w:val="pt-PT"/>
        </w:rPr>
      </w:pPr>
    </w:p>
    <w:p w14:paraId="2228448C" w14:textId="548A6F6B" w:rsidR="00A41C41" w:rsidRPr="00E3023F" w:rsidRDefault="002025C8" w:rsidP="00A41C41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>Conta de juros:</w:t>
      </w:r>
      <w:r w:rsidRPr="00E3023F">
        <w:rPr>
          <w:lang w:val="pt-PT"/>
        </w:rPr>
        <w:t xml:space="preserve"> </w:t>
      </w:r>
      <w:r w:rsidR="00FB4507" w:rsidRPr="00E3023F">
        <w:rPr>
          <w:lang w:val="pt-PT"/>
        </w:rPr>
        <w:t>sub</w:t>
      </w:r>
      <w:r w:rsidRPr="00E3023F">
        <w:rPr>
          <w:lang w:val="pt-PT"/>
        </w:rPr>
        <w:t>conta</w:t>
      </w:r>
      <w:r w:rsidR="00FB4507" w:rsidRPr="00E3023F">
        <w:rPr>
          <w:lang w:val="pt-PT"/>
        </w:rPr>
        <w:t xml:space="preserve"> da conta fiduciária</w:t>
      </w:r>
      <w:r w:rsidRPr="00E3023F">
        <w:rPr>
          <w:lang w:val="pt-PT"/>
        </w:rPr>
        <w:t xml:space="preserve"> titulada por instituição de moeda electrónica, num </w:t>
      </w:r>
      <w:r w:rsidR="00CB6566" w:rsidRPr="00E3023F">
        <w:rPr>
          <w:lang w:val="pt-PT"/>
        </w:rPr>
        <w:t>banco</w:t>
      </w:r>
      <w:r w:rsidR="008B5113">
        <w:rPr>
          <w:lang w:val="pt-PT"/>
        </w:rPr>
        <w:t>,</w:t>
      </w:r>
      <w:r w:rsidR="00CB6566" w:rsidRPr="00E3023F">
        <w:rPr>
          <w:lang w:val="pt-PT"/>
        </w:rPr>
        <w:t xml:space="preserve"> </w:t>
      </w:r>
      <w:r w:rsidRPr="00E3023F">
        <w:rPr>
          <w:lang w:val="pt-PT"/>
        </w:rPr>
        <w:t xml:space="preserve">destinada exclusivamente </w:t>
      </w:r>
      <w:r w:rsidR="00A41C41" w:rsidRPr="00E3023F">
        <w:rPr>
          <w:lang w:val="pt-PT"/>
        </w:rPr>
        <w:t>à</w:t>
      </w:r>
      <w:r w:rsidRPr="00E3023F">
        <w:rPr>
          <w:lang w:val="pt-PT"/>
        </w:rPr>
        <w:t xml:space="preserve"> recepção de juros e outros ganhos decorrentes da remuneração dos fundos depositados na conta fiduciária cuja movimentação deve obedecer às condições previstas no artigo </w:t>
      </w:r>
      <w:r w:rsidR="00A41C41" w:rsidRPr="00E3023F">
        <w:rPr>
          <w:lang w:val="pt-PT"/>
        </w:rPr>
        <w:t>11</w:t>
      </w:r>
      <w:r w:rsidR="00CB6566" w:rsidRPr="00E3023F">
        <w:rPr>
          <w:lang w:val="pt-PT"/>
        </w:rPr>
        <w:t>;</w:t>
      </w:r>
    </w:p>
    <w:p w14:paraId="5F295829" w14:textId="77777777" w:rsidR="00A41C41" w:rsidRPr="00E3023F" w:rsidRDefault="00A41C41" w:rsidP="00D51565">
      <w:pPr>
        <w:pStyle w:val="ListParagraph"/>
        <w:spacing w:line="360" w:lineRule="auto"/>
        <w:ind w:left="360"/>
        <w:jc w:val="both"/>
        <w:rPr>
          <w:lang w:val="pt-PT"/>
        </w:rPr>
      </w:pPr>
    </w:p>
    <w:p w14:paraId="40BE01F4" w14:textId="18984556" w:rsidR="00CB6566" w:rsidRPr="00E3023F" w:rsidRDefault="00BF56C6" w:rsidP="00A41C41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>Conta</w:t>
      </w:r>
      <w:r w:rsidRPr="00E3023F">
        <w:rPr>
          <w:b/>
          <w:bCs/>
          <w:szCs w:val="36"/>
          <w:lang w:val="pt-PT"/>
        </w:rPr>
        <w:t xml:space="preserve"> </w:t>
      </w:r>
      <w:r w:rsidR="00F50472" w:rsidRPr="00E3023F">
        <w:rPr>
          <w:b/>
          <w:bCs/>
          <w:szCs w:val="36"/>
          <w:lang w:val="pt-PT"/>
        </w:rPr>
        <w:t>fiduciária</w:t>
      </w:r>
      <w:r w:rsidRPr="00E3023F">
        <w:rPr>
          <w:b/>
          <w:bCs/>
          <w:szCs w:val="36"/>
          <w:lang w:val="pt-PT"/>
        </w:rPr>
        <w:t>:</w:t>
      </w:r>
      <w:r w:rsidRPr="00E3023F">
        <w:rPr>
          <w:szCs w:val="36"/>
          <w:lang w:val="pt-PT"/>
        </w:rPr>
        <w:t xml:space="preserve"> conta </w:t>
      </w:r>
      <w:r w:rsidR="00F50472" w:rsidRPr="00E3023F">
        <w:rPr>
          <w:szCs w:val="36"/>
          <w:lang w:val="pt-PT"/>
        </w:rPr>
        <w:t>bancária</w:t>
      </w:r>
      <w:r w:rsidRPr="00E3023F">
        <w:rPr>
          <w:szCs w:val="36"/>
          <w:lang w:val="pt-PT"/>
        </w:rPr>
        <w:t xml:space="preserve"> aberta e titulada por institui</w:t>
      </w:r>
      <w:r w:rsidR="00F50472" w:rsidRPr="00E3023F">
        <w:rPr>
          <w:szCs w:val="36"/>
          <w:lang w:val="pt-PT"/>
        </w:rPr>
        <w:t>ção</w:t>
      </w:r>
      <w:r w:rsidRPr="00E3023F">
        <w:rPr>
          <w:szCs w:val="36"/>
          <w:lang w:val="pt-PT"/>
        </w:rPr>
        <w:t xml:space="preserve"> de moeda </w:t>
      </w:r>
      <w:r w:rsidR="00CB6524" w:rsidRPr="00E3023F">
        <w:rPr>
          <w:szCs w:val="36"/>
          <w:lang w:val="pt-PT"/>
        </w:rPr>
        <w:t>electrónica</w:t>
      </w:r>
      <w:r w:rsidRPr="00E3023F">
        <w:rPr>
          <w:szCs w:val="36"/>
          <w:lang w:val="pt-PT"/>
        </w:rPr>
        <w:t xml:space="preserve">, num </w:t>
      </w:r>
      <w:r w:rsidR="00FB4507" w:rsidRPr="00E3023F">
        <w:rPr>
          <w:szCs w:val="36"/>
          <w:lang w:val="pt-PT"/>
        </w:rPr>
        <w:t>b</w:t>
      </w:r>
      <w:r w:rsidR="002025C8" w:rsidRPr="00E3023F">
        <w:rPr>
          <w:szCs w:val="36"/>
          <w:lang w:val="pt-PT"/>
        </w:rPr>
        <w:t>anco</w:t>
      </w:r>
      <w:r w:rsidR="008B5113">
        <w:rPr>
          <w:szCs w:val="36"/>
          <w:lang w:val="pt-PT"/>
        </w:rPr>
        <w:t>,</w:t>
      </w:r>
      <w:r w:rsidRPr="00E3023F">
        <w:rPr>
          <w:szCs w:val="36"/>
          <w:lang w:val="pt-PT"/>
        </w:rPr>
        <w:t xml:space="preserve"> destinada exclusivamente à recep</w:t>
      </w:r>
      <w:r w:rsidR="00F50472" w:rsidRPr="00E3023F">
        <w:rPr>
          <w:szCs w:val="36"/>
          <w:lang w:val="pt-PT"/>
        </w:rPr>
        <w:t>ção</w:t>
      </w:r>
      <w:r w:rsidRPr="00E3023F">
        <w:rPr>
          <w:szCs w:val="36"/>
          <w:lang w:val="pt-PT"/>
        </w:rPr>
        <w:t xml:space="preserve"> dos fundos resultantes da </w:t>
      </w:r>
      <w:r w:rsidR="00F50472" w:rsidRPr="00E3023F">
        <w:rPr>
          <w:szCs w:val="36"/>
          <w:lang w:val="pt-PT"/>
        </w:rPr>
        <w:t>emissão</w:t>
      </w:r>
      <w:r w:rsidRPr="00E3023F">
        <w:rPr>
          <w:szCs w:val="36"/>
          <w:lang w:val="pt-PT"/>
        </w:rPr>
        <w:t xml:space="preserve"> da moeda </w:t>
      </w:r>
      <w:r w:rsidR="00CB6524" w:rsidRPr="00E3023F">
        <w:rPr>
          <w:szCs w:val="36"/>
          <w:lang w:val="pt-PT"/>
        </w:rPr>
        <w:t>electrónica</w:t>
      </w:r>
      <w:r w:rsidRPr="00E3023F">
        <w:rPr>
          <w:szCs w:val="36"/>
          <w:lang w:val="pt-PT"/>
        </w:rPr>
        <w:t>, cuja movimenta</w:t>
      </w:r>
      <w:r w:rsidR="00F50472" w:rsidRPr="00E3023F">
        <w:rPr>
          <w:szCs w:val="36"/>
          <w:lang w:val="pt-PT"/>
        </w:rPr>
        <w:t>ção</w:t>
      </w:r>
      <w:r w:rsidRPr="00E3023F">
        <w:rPr>
          <w:szCs w:val="36"/>
          <w:lang w:val="pt-PT"/>
        </w:rPr>
        <w:t xml:space="preserve"> obedece as condições previstas no artigo 7</w:t>
      </w:r>
      <w:r w:rsidR="00CB6566" w:rsidRPr="00E3023F">
        <w:rPr>
          <w:szCs w:val="36"/>
          <w:lang w:val="pt-PT"/>
        </w:rPr>
        <w:t>;</w:t>
      </w:r>
    </w:p>
    <w:p w14:paraId="130B5620" w14:textId="77777777" w:rsidR="00CB6566" w:rsidRPr="00E3023F" w:rsidRDefault="00CB6566" w:rsidP="00D51565">
      <w:pPr>
        <w:pStyle w:val="ListParagraph"/>
        <w:spacing w:line="360" w:lineRule="auto"/>
        <w:ind w:left="360"/>
        <w:jc w:val="both"/>
        <w:rPr>
          <w:lang w:val="pt-PT"/>
        </w:rPr>
      </w:pPr>
    </w:p>
    <w:p w14:paraId="410BE0E5" w14:textId="61E92162" w:rsidR="00CB6566" w:rsidRPr="00E3023F" w:rsidRDefault="00BF56C6" w:rsidP="00CB6566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 xml:space="preserve">Emissão de moeda </w:t>
      </w:r>
      <w:r w:rsidR="00CB6524" w:rsidRPr="00E3023F">
        <w:rPr>
          <w:b/>
          <w:bCs/>
          <w:lang w:val="pt-PT"/>
        </w:rPr>
        <w:t>electrónica</w:t>
      </w:r>
      <w:r w:rsidRPr="00E3023F">
        <w:rPr>
          <w:lang w:val="pt-PT"/>
        </w:rPr>
        <w:t xml:space="preserve">: acto através do qual uma instituição de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disponibiliza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 xml:space="preserve"> após a recepção dos fundos;</w:t>
      </w:r>
    </w:p>
    <w:p w14:paraId="789E4B05" w14:textId="7C7F49D5" w:rsidR="00BF56C6" w:rsidRPr="00E3023F" w:rsidRDefault="00BF56C6" w:rsidP="00CB6566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lastRenderedPageBreak/>
        <w:t>Institui</w:t>
      </w:r>
      <w:r w:rsidR="00F50472" w:rsidRPr="00E3023F">
        <w:rPr>
          <w:b/>
          <w:bCs/>
          <w:lang w:val="pt-PT"/>
        </w:rPr>
        <w:t>ção</w:t>
      </w:r>
      <w:r w:rsidRPr="00E3023F">
        <w:rPr>
          <w:b/>
          <w:bCs/>
          <w:lang w:val="pt-PT"/>
        </w:rPr>
        <w:t xml:space="preserve"> de moeda </w:t>
      </w:r>
      <w:r w:rsidR="00CB6524" w:rsidRPr="00E3023F">
        <w:rPr>
          <w:b/>
          <w:bCs/>
          <w:lang w:val="pt-PT"/>
        </w:rPr>
        <w:t>electrónica</w:t>
      </w:r>
      <w:r w:rsidRPr="00E3023F">
        <w:rPr>
          <w:b/>
          <w:bCs/>
          <w:lang w:val="pt-PT"/>
        </w:rPr>
        <w:t>:</w:t>
      </w:r>
      <w:r w:rsidRPr="00E3023F">
        <w:rPr>
          <w:lang w:val="pt-PT"/>
        </w:rPr>
        <w:t xml:space="preserve"> </w:t>
      </w:r>
      <w:r w:rsidR="002025C8" w:rsidRPr="00E3023F">
        <w:rPr>
          <w:lang w:val="pt-PT"/>
        </w:rPr>
        <w:t>empresa prestadora de serviço de pagamento que tem por objecto principal a emissão de meios de pagamento sob a forma de moeda electrónica, nos termos estabelecidos na legislação aplicável</w:t>
      </w:r>
      <w:r w:rsidR="00CB6566" w:rsidRPr="00E3023F">
        <w:rPr>
          <w:lang w:val="pt-PT"/>
        </w:rPr>
        <w:t>;</w:t>
      </w:r>
    </w:p>
    <w:p w14:paraId="2C192BC7" w14:textId="77777777" w:rsidR="00CB6566" w:rsidRPr="00E3023F" w:rsidRDefault="00CB6566" w:rsidP="00D51565">
      <w:pPr>
        <w:pStyle w:val="ListParagraph"/>
        <w:spacing w:line="360" w:lineRule="auto"/>
        <w:ind w:left="360"/>
        <w:jc w:val="both"/>
        <w:rPr>
          <w:lang w:val="pt-PT"/>
        </w:rPr>
      </w:pPr>
    </w:p>
    <w:p w14:paraId="789EC279" w14:textId="13C7F661" w:rsidR="00CB6566" w:rsidRPr="00E3023F" w:rsidRDefault="00BF56C6" w:rsidP="00CB6566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>Moeda electrónica</w:t>
      </w:r>
      <w:r w:rsidR="00176752" w:rsidRPr="00E3023F">
        <w:rPr>
          <w:b/>
          <w:bCs/>
          <w:lang w:val="pt-PT"/>
        </w:rPr>
        <w:t>:</w:t>
      </w:r>
      <w:r w:rsidR="00176752" w:rsidRPr="00E3023F">
        <w:rPr>
          <w:rFonts w:ascii="Times" w:eastAsiaTheme="minorHAnsi" w:hAnsi="Times" w:cs="Times"/>
          <w:sz w:val="20"/>
          <w:szCs w:val="20"/>
          <w:lang w:val="pt-PT"/>
          <w14:ligatures w14:val="standardContextual"/>
        </w:rPr>
        <w:t xml:space="preserve"> </w:t>
      </w:r>
      <w:r w:rsidR="00176752" w:rsidRPr="00E3023F">
        <w:rPr>
          <w:lang w:val="pt-PT"/>
        </w:rPr>
        <w:t xml:space="preserve">valor monetário, representado por um crédito sobre o emitente e que: </w:t>
      </w:r>
      <w:r w:rsidR="00176752" w:rsidRPr="00E3023F">
        <w:rPr>
          <w:i/>
          <w:iCs/>
          <w:lang w:val="pt-PT"/>
        </w:rPr>
        <w:t>(i</w:t>
      </w:r>
      <w:r w:rsidR="00176752" w:rsidRPr="00E3023F">
        <w:rPr>
          <w:lang w:val="pt-PT"/>
        </w:rPr>
        <w:t>) se encontre armazenado num suporte electrónico; e (</w:t>
      </w:r>
      <w:r w:rsidR="00176752" w:rsidRPr="00E3023F">
        <w:rPr>
          <w:i/>
          <w:iCs/>
          <w:lang w:val="pt-PT"/>
        </w:rPr>
        <w:t>ii</w:t>
      </w:r>
      <w:r w:rsidR="00176752" w:rsidRPr="00E3023F">
        <w:rPr>
          <w:lang w:val="pt-PT"/>
        </w:rPr>
        <w:t>) seja aceite como meio de pagamento por outras entidades que não a emitente</w:t>
      </w:r>
      <w:r w:rsidR="00CB6566" w:rsidRPr="00E3023F">
        <w:rPr>
          <w:lang w:val="pt-PT"/>
        </w:rPr>
        <w:t>;</w:t>
      </w:r>
    </w:p>
    <w:p w14:paraId="7977B5ED" w14:textId="77777777" w:rsidR="00CB6566" w:rsidRPr="00E3023F" w:rsidRDefault="00CB6566" w:rsidP="00D51565">
      <w:pPr>
        <w:pStyle w:val="ListParagraph"/>
        <w:spacing w:line="360" w:lineRule="auto"/>
        <w:ind w:left="360"/>
        <w:jc w:val="both"/>
        <w:rPr>
          <w:lang w:val="pt-PT"/>
        </w:rPr>
      </w:pPr>
    </w:p>
    <w:p w14:paraId="53689B03" w14:textId="30B2FA3E" w:rsidR="00BF56C6" w:rsidRPr="00E3023F" w:rsidRDefault="00BF56C6" w:rsidP="00D51565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pt-PT"/>
        </w:rPr>
      </w:pPr>
      <w:r w:rsidRPr="00E3023F">
        <w:rPr>
          <w:b/>
          <w:bCs/>
          <w:lang w:val="pt-PT"/>
        </w:rPr>
        <w:t>Portador:</w:t>
      </w:r>
      <w:r w:rsidRPr="00E3023F">
        <w:rPr>
          <w:lang w:val="pt-PT"/>
        </w:rPr>
        <w:t xml:space="preserve"> pessoa singular ou colectiva que detém a moeda </w:t>
      </w:r>
      <w:r w:rsidR="00CB6524" w:rsidRPr="00E3023F">
        <w:rPr>
          <w:lang w:val="pt-PT"/>
        </w:rPr>
        <w:t>electrónica</w:t>
      </w:r>
      <w:r w:rsidRPr="00E3023F">
        <w:rPr>
          <w:lang w:val="pt-PT"/>
        </w:rPr>
        <w:t>.</w:t>
      </w:r>
    </w:p>
    <w:p w14:paraId="4155CA51" w14:textId="77777777" w:rsidR="00BF56C6" w:rsidRPr="00E3023F" w:rsidRDefault="00BF56C6" w:rsidP="00182905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sectPr w:rsidR="00BF56C6" w:rsidRPr="00E3023F" w:rsidSect="00EE41F0">
      <w:pgSz w:w="11906" w:h="16838"/>
      <w:pgMar w:top="19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7C17" w14:textId="77777777" w:rsidR="00831740" w:rsidRDefault="00831740" w:rsidP="003F64C0">
      <w:pPr>
        <w:spacing w:after="0" w:line="240" w:lineRule="auto"/>
      </w:pPr>
      <w:r>
        <w:separator/>
      </w:r>
    </w:p>
  </w:endnote>
  <w:endnote w:type="continuationSeparator" w:id="0">
    <w:p w14:paraId="2C48C575" w14:textId="77777777" w:rsidR="00831740" w:rsidRDefault="00831740" w:rsidP="003F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0603" w14:textId="77777777" w:rsidR="00831740" w:rsidRDefault="00831740" w:rsidP="003F64C0">
      <w:pPr>
        <w:spacing w:after="0" w:line="240" w:lineRule="auto"/>
      </w:pPr>
      <w:r>
        <w:separator/>
      </w:r>
    </w:p>
  </w:footnote>
  <w:footnote w:type="continuationSeparator" w:id="0">
    <w:p w14:paraId="72A604F7" w14:textId="77777777" w:rsidR="00831740" w:rsidRDefault="00831740" w:rsidP="003F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51F0" w14:textId="45DE39F6" w:rsidR="007B2C24" w:rsidRDefault="00BE36E1" w:rsidP="007B2C24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A25D5B" wp14:editId="1FCC0E24">
          <wp:simplePos x="0" y="0"/>
          <wp:positionH relativeFrom="column">
            <wp:posOffset>5090615</wp:posOffset>
          </wp:positionH>
          <wp:positionV relativeFrom="paragraph">
            <wp:posOffset>62211</wp:posOffset>
          </wp:positionV>
          <wp:extent cx="705103" cy="548299"/>
          <wp:effectExtent l="0" t="0" r="0" b="4445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06" cy="55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1F0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8CBE5F2" wp14:editId="705E773F">
          <wp:simplePos x="0" y="0"/>
          <wp:positionH relativeFrom="column">
            <wp:posOffset>-932180</wp:posOffset>
          </wp:positionH>
          <wp:positionV relativeFrom="paragraph">
            <wp:posOffset>-453390</wp:posOffset>
          </wp:positionV>
          <wp:extent cx="7571740" cy="10702925"/>
          <wp:effectExtent l="0" t="0" r="0" b="0"/>
          <wp:wrapNone/>
          <wp:docPr id="6295638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63881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1070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A450D" w14:textId="3F87553F" w:rsidR="003F64C0" w:rsidRDefault="003F64C0" w:rsidP="003F64C0">
    <w:pPr>
      <w:pStyle w:val="Header"/>
      <w:jc w:val="right"/>
    </w:pPr>
  </w:p>
  <w:p w14:paraId="0527D10C" w14:textId="3F2525E0" w:rsidR="003F64C0" w:rsidRDefault="003F64C0" w:rsidP="003F64C0">
    <w:pPr>
      <w:pStyle w:val="Header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21EC"/>
    <w:multiLevelType w:val="hybridMultilevel"/>
    <w:tmpl w:val="2ECEEDE2"/>
    <w:lvl w:ilvl="0" w:tplc="3698E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C4E98"/>
    <w:multiLevelType w:val="hybridMultilevel"/>
    <w:tmpl w:val="5EB0E296"/>
    <w:lvl w:ilvl="0" w:tplc="4480305A">
      <w:start w:val="1"/>
      <w:numFmt w:val="decimal"/>
      <w:lvlText w:val="%1."/>
      <w:lvlJc w:val="left"/>
      <w:pPr>
        <w:ind w:left="-62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8" w:hanging="360"/>
      </w:pPr>
    </w:lvl>
    <w:lvl w:ilvl="2" w:tplc="FFFFFFFF" w:tentative="1">
      <w:start w:val="1"/>
      <w:numFmt w:val="lowerRoman"/>
      <w:lvlText w:val="%3."/>
      <w:lvlJc w:val="right"/>
      <w:pPr>
        <w:ind w:left="818" w:hanging="180"/>
      </w:pPr>
    </w:lvl>
    <w:lvl w:ilvl="3" w:tplc="FFFFFFFF" w:tentative="1">
      <w:start w:val="1"/>
      <w:numFmt w:val="decimal"/>
      <w:lvlText w:val="%4."/>
      <w:lvlJc w:val="left"/>
      <w:pPr>
        <w:ind w:left="1538" w:hanging="360"/>
      </w:pPr>
    </w:lvl>
    <w:lvl w:ilvl="4" w:tplc="FFFFFFFF" w:tentative="1">
      <w:start w:val="1"/>
      <w:numFmt w:val="lowerLetter"/>
      <w:lvlText w:val="%5."/>
      <w:lvlJc w:val="left"/>
      <w:pPr>
        <w:ind w:left="2258" w:hanging="360"/>
      </w:pPr>
    </w:lvl>
    <w:lvl w:ilvl="5" w:tplc="FFFFFFFF" w:tentative="1">
      <w:start w:val="1"/>
      <w:numFmt w:val="lowerRoman"/>
      <w:lvlText w:val="%6."/>
      <w:lvlJc w:val="right"/>
      <w:pPr>
        <w:ind w:left="2978" w:hanging="180"/>
      </w:pPr>
    </w:lvl>
    <w:lvl w:ilvl="6" w:tplc="FFFFFFFF" w:tentative="1">
      <w:start w:val="1"/>
      <w:numFmt w:val="decimal"/>
      <w:lvlText w:val="%7."/>
      <w:lvlJc w:val="left"/>
      <w:pPr>
        <w:ind w:left="3698" w:hanging="360"/>
      </w:pPr>
    </w:lvl>
    <w:lvl w:ilvl="7" w:tplc="FFFFFFFF" w:tentative="1">
      <w:start w:val="1"/>
      <w:numFmt w:val="lowerLetter"/>
      <w:lvlText w:val="%8."/>
      <w:lvlJc w:val="left"/>
      <w:pPr>
        <w:ind w:left="4418" w:hanging="360"/>
      </w:pPr>
    </w:lvl>
    <w:lvl w:ilvl="8" w:tplc="FFFFFFFF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2" w15:restartNumberingAfterBreak="0">
    <w:nsid w:val="03266D5C"/>
    <w:multiLevelType w:val="hybridMultilevel"/>
    <w:tmpl w:val="550E82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296147"/>
    <w:multiLevelType w:val="hybridMultilevel"/>
    <w:tmpl w:val="0C5A49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F6C58"/>
    <w:multiLevelType w:val="hybridMultilevel"/>
    <w:tmpl w:val="328CA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5B7A"/>
    <w:multiLevelType w:val="hybridMultilevel"/>
    <w:tmpl w:val="485C84D6"/>
    <w:lvl w:ilvl="0" w:tplc="8466B1E0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1564B13"/>
    <w:multiLevelType w:val="hybridMultilevel"/>
    <w:tmpl w:val="18DAA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1F39"/>
    <w:multiLevelType w:val="hybridMultilevel"/>
    <w:tmpl w:val="FFC4C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27520"/>
    <w:multiLevelType w:val="hybridMultilevel"/>
    <w:tmpl w:val="DD441234"/>
    <w:lvl w:ilvl="0" w:tplc="4C04B302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29210D08"/>
    <w:multiLevelType w:val="hybridMultilevel"/>
    <w:tmpl w:val="C71857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439F8"/>
    <w:multiLevelType w:val="hybridMultilevel"/>
    <w:tmpl w:val="610EE92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BD61DE"/>
    <w:multiLevelType w:val="hybridMultilevel"/>
    <w:tmpl w:val="C7185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3D42"/>
    <w:multiLevelType w:val="hybridMultilevel"/>
    <w:tmpl w:val="F9A01F9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F0CD8"/>
    <w:multiLevelType w:val="hybridMultilevel"/>
    <w:tmpl w:val="2330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3F3B"/>
    <w:multiLevelType w:val="hybridMultilevel"/>
    <w:tmpl w:val="F01C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927BA"/>
    <w:multiLevelType w:val="hybridMultilevel"/>
    <w:tmpl w:val="281ABD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5C69E4"/>
    <w:multiLevelType w:val="hybridMultilevel"/>
    <w:tmpl w:val="A91AEFD4"/>
    <w:lvl w:ilvl="0" w:tplc="ACAE2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7512B"/>
    <w:multiLevelType w:val="hybridMultilevel"/>
    <w:tmpl w:val="D8748D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20FAB"/>
    <w:multiLevelType w:val="hybridMultilevel"/>
    <w:tmpl w:val="7EB46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11E3F"/>
    <w:multiLevelType w:val="hybridMultilevel"/>
    <w:tmpl w:val="C71857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A7038"/>
    <w:multiLevelType w:val="hybridMultilevel"/>
    <w:tmpl w:val="12A6B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472233"/>
    <w:multiLevelType w:val="multilevel"/>
    <w:tmpl w:val="6B6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079DA"/>
    <w:multiLevelType w:val="hybridMultilevel"/>
    <w:tmpl w:val="9588ED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1228C7"/>
    <w:multiLevelType w:val="hybridMultilevel"/>
    <w:tmpl w:val="24CC2F40"/>
    <w:lvl w:ilvl="0" w:tplc="04BE3B4A">
      <w:start w:val="1"/>
      <w:numFmt w:val="decimal"/>
      <w:lvlText w:val="%1."/>
      <w:lvlJc w:val="left"/>
      <w:pPr>
        <w:ind w:left="-62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98" w:hanging="360"/>
      </w:pPr>
    </w:lvl>
    <w:lvl w:ilvl="2" w:tplc="0809001B" w:tentative="1">
      <w:start w:val="1"/>
      <w:numFmt w:val="lowerRoman"/>
      <w:lvlText w:val="%3."/>
      <w:lvlJc w:val="right"/>
      <w:pPr>
        <w:ind w:left="818" w:hanging="180"/>
      </w:pPr>
    </w:lvl>
    <w:lvl w:ilvl="3" w:tplc="0809000F" w:tentative="1">
      <w:start w:val="1"/>
      <w:numFmt w:val="decimal"/>
      <w:lvlText w:val="%4."/>
      <w:lvlJc w:val="left"/>
      <w:pPr>
        <w:ind w:left="1538" w:hanging="360"/>
      </w:pPr>
    </w:lvl>
    <w:lvl w:ilvl="4" w:tplc="08090019" w:tentative="1">
      <w:start w:val="1"/>
      <w:numFmt w:val="lowerLetter"/>
      <w:lvlText w:val="%5."/>
      <w:lvlJc w:val="left"/>
      <w:pPr>
        <w:ind w:left="2258" w:hanging="360"/>
      </w:pPr>
    </w:lvl>
    <w:lvl w:ilvl="5" w:tplc="0809001B" w:tentative="1">
      <w:start w:val="1"/>
      <w:numFmt w:val="lowerRoman"/>
      <w:lvlText w:val="%6."/>
      <w:lvlJc w:val="right"/>
      <w:pPr>
        <w:ind w:left="2978" w:hanging="180"/>
      </w:pPr>
    </w:lvl>
    <w:lvl w:ilvl="6" w:tplc="0809000F" w:tentative="1">
      <w:start w:val="1"/>
      <w:numFmt w:val="decimal"/>
      <w:lvlText w:val="%7."/>
      <w:lvlJc w:val="left"/>
      <w:pPr>
        <w:ind w:left="3698" w:hanging="360"/>
      </w:pPr>
    </w:lvl>
    <w:lvl w:ilvl="7" w:tplc="08090019" w:tentative="1">
      <w:start w:val="1"/>
      <w:numFmt w:val="lowerLetter"/>
      <w:lvlText w:val="%8."/>
      <w:lvlJc w:val="left"/>
      <w:pPr>
        <w:ind w:left="4418" w:hanging="360"/>
      </w:pPr>
    </w:lvl>
    <w:lvl w:ilvl="8" w:tplc="0809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24" w15:restartNumberingAfterBreak="0">
    <w:nsid w:val="5CF74507"/>
    <w:multiLevelType w:val="hybridMultilevel"/>
    <w:tmpl w:val="E0F229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1E43AD"/>
    <w:multiLevelType w:val="hybridMultilevel"/>
    <w:tmpl w:val="FC362F04"/>
    <w:lvl w:ilvl="0" w:tplc="679E7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D4387"/>
    <w:multiLevelType w:val="hybridMultilevel"/>
    <w:tmpl w:val="83C82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19BD"/>
    <w:multiLevelType w:val="hybridMultilevel"/>
    <w:tmpl w:val="281ABD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020075"/>
    <w:multiLevelType w:val="hybridMultilevel"/>
    <w:tmpl w:val="281ABD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4427A"/>
    <w:multiLevelType w:val="hybridMultilevel"/>
    <w:tmpl w:val="D8748D60"/>
    <w:lvl w:ilvl="0" w:tplc="421EF7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275817"/>
    <w:multiLevelType w:val="hybridMultilevel"/>
    <w:tmpl w:val="5AC4A9D8"/>
    <w:lvl w:ilvl="0" w:tplc="E8CECE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21969">
    <w:abstractNumId w:val="2"/>
  </w:num>
  <w:num w:numId="2" w16cid:durableId="2047486718">
    <w:abstractNumId w:val="3"/>
  </w:num>
  <w:num w:numId="3" w16cid:durableId="1237860519">
    <w:abstractNumId w:val="6"/>
  </w:num>
  <w:num w:numId="4" w16cid:durableId="1932742168">
    <w:abstractNumId w:val="14"/>
  </w:num>
  <w:num w:numId="5" w16cid:durableId="1353603140">
    <w:abstractNumId w:val="12"/>
  </w:num>
  <w:num w:numId="6" w16cid:durableId="513425535">
    <w:abstractNumId w:val="4"/>
  </w:num>
  <w:num w:numId="7" w16cid:durableId="1467505978">
    <w:abstractNumId w:val="23"/>
  </w:num>
  <w:num w:numId="8" w16cid:durableId="634674346">
    <w:abstractNumId w:val="25"/>
  </w:num>
  <w:num w:numId="9" w16cid:durableId="2092309674">
    <w:abstractNumId w:val="9"/>
  </w:num>
  <w:num w:numId="10" w16cid:durableId="861171037">
    <w:abstractNumId w:val="28"/>
  </w:num>
  <w:num w:numId="11" w16cid:durableId="31544169">
    <w:abstractNumId w:val="10"/>
  </w:num>
  <w:num w:numId="12" w16cid:durableId="1766805688">
    <w:abstractNumId w:val="16"/>
  </w:num>
  <w:num w:numId="13" w16cid:durableId="1072044523">
    <w:abstractNumId w:val="15"/>
  </w:num>
  <w:num w:numId="14" w16cid:durableId="208807505">
    <w:abstractNumId w:val="27"/>
  </w:num>
  <w:num w:numId="15" w16cid:durableId="1813210455">
    <w:abstractNumId w:val="1"/>
  </w:num>
  <w:num w:numId="16" w16cid:durableId="210921464">
    <w:abstractNumId w:val="19"/>
  </w:num>
  <w:num w:numId="17" w16cid:durableId="1116094007">
    <w:abstractNumId w:val="11"/>
  </w:num>
  <w:num w:numId="18" w16cid:durableId="1570967027">
    <w:abstractNumId w:val="18"/>
  </w:num>
  <w:num w:numId="19" w16cid:durableId="1773160135">
    <w:abstractNumId w:val="30"/>
  </w:num>
  <w:num w:numId="20" w16cid:durableId="510803999">
    <w:abstractNumId w:val="0"/>
  </w:num>
  <w:num w:numId="21" w16cid:durableId="1181625842">
    <w:abstractNumId w:val="22"/>
  </w:num>
  <w:num w:numId="22" w16cid:durableId="2018381469">
    <w:abstractNumId w:val="20"/>
  </w:num>
  <w:num w:numId="23" w16cid:durableId="1647272669">
    <w:abstractNumId w:val="13"/>
  </w:num>
  <w:num w:numId="24" w16cid:durableId="1389761601">
    <w:abstractNumId w:val="26"/>
  </w:num>
  <w:num w:numId="25" w16cid:durableId="1654673747">
    <w:abstractNumId w:val="7"/>
  </w:num>
  <w:num w:numId="26" w16cid:durableId="430979815">
    <w:abstractNumId w:val="24"/>
  </w:num>
  <w:num w:numId="27" w16cid:durableId="1993681332">
    <w:abstractNumId w:val="5"/>
  </w:num>
  <w:num w:numId="28" w16cid:durableId="1763212467">
    <w:abstractNumId w:val="8"/>
  </w:num>
  <w:num w:numId="29" w16cid:durableId="339358751">
    <w:abstractNumId w:val="29"/>
  </w:num>
  <w:num w:numId="30" w16cid:durableId="1066805590">
    <w:abstractNumId w:val="21"/>
  </w:num>
  <w:num w:numId="31" w16cid:durableId="4158286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C0"/>
    <w:rsid w:val="0000540F"/>
    <w:rsid w:val="0002445B"/>
    <w:rsid w:val="000675F5"/>
    <w:rsid w:val="000948B7"/>
    <w:rsid w:val="00095AEE"/>
    <w:rsid w:val="000C6EC7"/>
    <w:rsid w:val="00100A0A"/>
    <w:rsid w:val="001060EE"/>
    <w:rsid w:val="0015753C"/>
    <w:rsid w:val="00176752"/>
    <w:rsid w:val="00180BAF"/>
    <w:rsid w:val="00182905"/>
    <w:rsid w:val="001C263B"/>
    <w:rsid w:val="001E5262"/>
    <w:rsid w:val="001E7AB2"/>
    <w:rsid w:val="001F2F8B"/>
    <w:rsid w:val="001F4B40"/>
    <w:rsid w:val="002025C8"/>
    <w:rsid w:val="002401AB"/>
    <w:rsid w:val="002413E6"/>
    <w:rsid w:val="00245E7D"/>
    <w:rsid w:val="002541EA"/>
    <w:rsid w:val="00272122"/>
    <w:rsid w:val="00274229"/>
    <w:rsid w:val="00292CA6"/>
    <w:rsid w:val="0029703F"/>
    <w:rsid w:val="002B323D"/>
    <w:rsid w:val="002C05DB"/>
    <w:rsid w:val="002D24EF"/>
    <w:rsid w:val="002D7F5A"/>
    <w:rsid w:val="002E56A0"/>
    <w:rsid w:val="002F61D6"/>
    <w:rsid w:val="00305D2C"/>
    <w:rsid w:val="00313FA2"/>
    <w:rsid w:val="00350068"/>
    <w:rsid w:val="003668CE"/>
    <w:rsid w:val="003A7752"/>
    <w:rsid w:val="003C724E"/>
    <w:rsid w:val="003F64C0"/>
    <w:rsid w:val="003F6FE9"/>
    <w:rsid w:val="00404F00"/>
    <w:rsid w:val="00407897"/>
    <w:rsid w:val="0041488C"/>
    <w:rsid w:val="00414A18"/>
    <w:rsid w:val="00417D3D"/>
    <w:rsid w:val="00430F29"/>
    <w:rsid w:val="00462897"/>
    <w:rsid w:val="004837C3"/>
    <w:rsid w:val="004C06F7"/>
    <w:rsid w:val="004C7058"/>
    <w:rsid w:val="004F62CA"/>
    <w:rsid w:val="00501317"/>
    <w:rsid w:val="00536FFB"/>
    <w:rsid w:val="00554964"/>
    <w:rsid w:val="005560A9"/>
    <w:rsid w:val="0055658F"/>
    <w:rsid w:val="00571997"/>
    <w:rsid w:val="005733E1"/>
    <w:rsid w:val="005A37AF"/>
    <w:rsid w:val="005B12DA"/>
    <w:rsid w:val="005D23CB"/>
    <w:rsid w:val="005E24CD"/>
    <w:rsid w:val="005F5489"/>
    <w:rsid w:val="00610BDF"/>
    <w:rsid w:val="00614FFF"/>
    <w:rsid w:val="00617DD3"/>
    <w:rsid w:val="00631208"/>
    <w:rsid w:val="00634225"/>
    <w:rsid w:val="00650013"/>
    <w:rsid w:val="006500C6"/>
    <w:rsid w:val="00674EF0"/>
    <w:rsid w:val="006D15A2"/>
    <w:rsid w:val="006D5F7B"/>
    <w:rsid w:val="00712EE8"/>
    <w:rsid w:val="0071460E"/>
    <w:rsid w:val="00753874"/>
    <w:rsid w:val="00785A8A"/>
    <w:rsid w:val="007873F9"/>
    <w:rsid w:val="007B28CA"/>
    <w:rsid w:val="007B2C24"/>
    <w:rsid w:val="007C534B"/>
    <w:rsid w:val="007E06BB"/>
    <w:rsid w:val="00831740"/>
    <w:rsid w:val="0084230D"/>
    <w:rsid w:val="00847F09"/>
    <w:rsid w:val="00874B3D"/>
    <w:rsid w:val="00895B33"/>
    <w:rsid w:val="008B5113"/>
    <w:rsid w:val="008C0B8A"/>
    <w:rsid w:val="008D74B6"/>
    <w:rsid w:val="008E106A"/>
    <w:rsid w:val="008F6E0A"/>
    <w:rsid w:val="00913EAE"/>
    <w:rsid w:val="00951E0C"/>
    <w:rsid w:val="00954A60"/>
    <w:rsid w:val="009635B5"/>
    <w:rsid w:val="0099039C"/>
    <w:rsid w:val="009A59C4"/>
    <w:rsid w:val="009E7BB1"/>
    <w:rsid w:val="00A00833"/>
    <w:rsid w:val="00A033DB"/>
    <w:rsid w:val="00A41C41"/>
    <w:rsid w:val="00A425B7"/>
    <w:rsid w:val="00A53294"/>
    <w:rsid w:val="00AA0B73"/>
    <w:rsid w:val="00AC3D8D"/>
    <w:rsid w:val="00AC4641"/>
    <w:rsid w:val="00AC6D6D"/>
    <w:rsid w:val="00AF621E"/>
    <w:rsid w:val="00B50A30"/>
    <w:rsid w:val="00B63FAC"/>
    <w:rsid w:val="00BA090C"/>
    <w:rsid w:val="00BA4D8E"/>
    <w:rsid w:val="00BC559D"/>
    <w:rsid w:val="00BE36E1"/>
    <w:rsid w:val="00BF49E5"/>
    <w:rsid w:val="00BF56C6"/>
    <w:rsid w:val="00C34B42"/>
    <w:rsid w:val="00C44051"/>
    <w:rsid w:val="00C55E19"/>
    <w:rsid w:val="00C73DE7"/>
    <w:rsid w:val="00C809E5"/>
    <w:rsid w:val="00CB6524"/>
    <w:rsid w:val="00CB6566"/>
    <w:rsid w:val="00CD78DA"/>
    <w:rsid w:val="00D00F2A"/>
    <w:rsid w:val="00D01059"/>
    <w:rsid w:val="00D26FBB"/>
    <w:rsid w:val="00D46AC7"/>
    <w:rsid w:val="00D50F31"/>
    <w:rsid w:val="00D51565"/>
    <w:rsid w:val="00D51EBC"/>
    <w:rsid w:val="00D662A3"/>
    <w:rsid w:val="00D80468"/>
    <w:rsid w:val="00D84474"/>
    <w:rsid w:val="00D96DC5"/>
    <w:rsid w:val="00DB51E7"/>
    <w:rsid w:val="00DC4A7D"/>
    <w:rsid w:val="00DE7234"/>
    <w:rsid w:val="00DF5828"/>
    <w:rsid w:val="00DF76CD"/>
    <w:rsid w:val="00E13391"/>
    <w:rsid w:val="00E3023F"/>
    <w:rsid w:val="00E91511"/>
    <w:rsid w:val="00EB2774"/>
    <w:rsid w:val="00EC76B0"/>
    <w:rsid w:val="00EE41F0"/>
    <w:rsid w:val="00F07EA3"/>
    <w:rsid w:val="00F37D81"/>
    <w:rsid w:val="00F4288E"/>
    <w:rsid w:val="00F46DBB"/>
    <w:rsid w:val="00F474F0"/>
    <w:rsid w:val="00F50472"/>
    <w:rsid w:val="00F60701"/>
    <w:rsid w:val="00F8737D"/>
    <w:rsid w:val="00F91310"/>
    <w:rsid w:val="00FA73F3"/>
    <w:rsid w:val="00FB4507"/>
    <w:rsid w:val="00FD3B29"/>
    <w:rsid w:val="00FD7904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7A946D"/>
  <w15:docId w15:val="{4F5795E3-48FE-41AA-A0EC-91F90FE7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6C6"/>
    <w:pPr>
      <w:spacing w:after="3" w:line="265" w:lineRule="auto"/>
      <w:ind w:left="3808" w:hanging="10"/>
    </w:pPr>
    <w:rPr>
      <w:rFonts w:ascii="Calibri" w:eastAsia="Calibri" w:hAnsi="Calibri" w:cs="Calibri"/>
      <w:color w:val="273B69"/>
      <w:kern w:val="0"/>
      <w:sz w:val="16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05DB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F64C0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C0"/>
    <w:rPr>
      <w:rFonts w:ascii="Calibri" w:eastAsia="Calibri" w:hAnsi="Calibri" w:cs="Calibri"/>
      <w:color w:val="273B69"/>
      <w:kern w:val="0"/>
      <w:sz w:val="16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C0"/>
    <w:rPr>
      <w:rFonts w:ascii="Calibri" w:eastAsia="Calibri" w:hAnsi="Calibri" w:cs="Calibri"/>
      <w:color w:val="273B69"/>
      <w:kern w:val="0"/>
      <w:sz w:val="16"/>
      <w:szCs w:val="22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00A0A"/>
    <w:pPr>
      <w:spacing w:after="0" w:line="240" w:lineRule="auto"/>
      <w:ind w:left="72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00A0A"/>
    <w:rPr>
      <w:rFonts w:ascii="Times New Roman" w:eastAsia="Times New Roman" w:hAnsi="Times New Roman" w:cs="Times New Roman"/>
      <w:kern w:val="0"/>
      <w14:ligatures w14:val="none"/>
    </w:rPr>
  </w:style>
  <w:style w:type="table" w:styleId="TableGrid0">
    <w:name w:val="Table Grid"/>
    <w:basedOn w:val="TableNormal"/>
    <w:uiPriority w:val="39"/>
    <w:rsid w:val="00C3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25C8"/>
    <w:rPr>
      <w:rFonts w:ascii="Calibri" w:eastAsia="Calibri" w:hAnsi="Calibri" w:cs="Calibri"/>
      <w:color w:val="273B69"/>
      <w:kern w:val="0"/>
      <w:sz w:val="16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2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5C8"/>
    <w:rPr>
      <w:rFonts w:ascii="Calibri" w:eastAsia="Calibri" w:hAnsi="Calibri" w:cs="Calibri"/>
      <w:color w:val="273B69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C8"/>
    <w:rPr>
      <w:rFonts w:ascii="Calibri" w:eastAsia="Calibri" w:hAnsi="Calibri" w:cs="Calibri"/>
      <w:b/>
      <w:bCs/>
      <w:color w:val="273B69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C05DB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styleId="Strong">
    <w:name w:val="Strong"/>
    <w:basedOn w:val="DefaultParagraphFont"/>
    <w:uiPriority w:val="22"/>
    <w:qFormat/>
    <w:rsid w:val="00895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05862C46F64EEA974567905543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22F6-43F3-4E99-AEFE-0A2A43E090F3}"/>
      </w:docPartPr>
      <w:docPartBody>
        <w:p w:rsidR="00062D19" w:rsidRDefault="00062D19" w:rsidP="00062D19">
          <w:pPr>
            <w:pStyle w:val="FB05862C46F64EEA9745679055433C02"/>
          </w:pPr>
          <w:r w:rsidRPr="005E2E15">
            <w:rPr>
              <w:rStyle w:val="PlaceholderText"/>
            </w:rPr>
            <w:t>Choose an item.</w:t>
          </w:r>
        </w:p>
      </w:docPartBody>
    </w:docPart>
    <w:docPart>
      <w:docPartPr>
        <w:name w:val="1EBC9D6149C948CC9077C2031501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F78F-436D-4133-B63B-4B846747708C}"/>
      </w:docPartPr>
      <w:docPartBody>
        <w:p w:rsidR="00062D19" w:rsidRDefault="00062D19" w:rsidP="00062D19">
          <w:pPr>
            <w:pStyle w:val="1EBC9D6149C948CC9077C2031501ABEB"/>
          </w:pPr>
          <w:r w:rsidRPr="005E2E15">
            <w:rPr>
              <w:rStyle w:val="PlaceholderText"/>
            </w:rPr>
            <w:t>Choose an item.</w:t>
          </w:r>
        </w:p>
      </w:docPartBody>
    </w:docPart>
    <w:docPart>
      <w:docPartPr>
        <w:name w:val="4F714C5665DB4638BAD565C6B37C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8914-6679-4797-93BF-46FC0458682B}"/>
      </w:docPartPr>
      <w:docPartBody>
        <w:p w:rsidR="00062D19" w:rsidRDefault="00062D19" w:rsidP="00062D19">
          <w:pPr>
            <w:pStyle w:val="4F714C5665DB4638BAD565C6B37C87F7"/>
          </w:pPr>
          <w:r w:rsidRPr="005E2E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19"/>
    <w:rsid w:val="00014FFD"/>
    <w:rsid w:val="00062D19"/>
    <w:rsid w:val="000675F5"/>
    <w:rsid w:val="00132478"/>
    <w:rsid w:val="005C70C9"/>
    <w:rsid w:val="00913EAE"/>
    <w:rsid w:val="009A30F9"/>
    <w:rsid w:val="00A00833"/>
    <w:rsid w:val="00A864B4"/>
    <w:rsid w:val="00AA0B73"/>
    <w:rsid w:val="00BC74EE"/>
    <w:rsid w:val="00DA1023"/>
    <w:rsid w:val="00D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D19"/>
    <w:rPr>
      <w:color w:val="808080"/>
    </w:rPr>
  </w:style>
  <w:style w:type="paragraph" w:customStyle="1" w:styleId="FB05862C46F64EEA9745679055433C02">
    <w:name w:val="FB05862C46F64EEA9745679055433C02"/>
    <w:rsid w:val="00062D19"/>
  </w:style>
  <w:style w:type="paragraph" w:customStyle="1" w:styleId="1EBC9D6149C948CC9077C2031501ABEB">
    <w:name w:val="1EBC9D6149C948CC9077C2031501ABEB"/>
    <w:rsid w:val="00062D19"/>
  </w:style>
  <w:style w:type="paragraph" w:customStyle="1" w:styleId="4F714C5665DB4638BAD565C6B37C87F7">
    <w:name w:val="4F714C5665DB4638BAD565C6B37C87F7"/>
    <w:rsid w:val="00062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EC0BC01263C47809978F5A09D3D73" ma:contentTypeVersion="2" ma:contentTypeDescription="Criar um novo documento." ma:contentTypeScope="" ma:versionID="16e231649d7ab1ec4219ca891a2d4ba0">
  <xsd:schema xmlns:xsd="http://www.w3.org/2001/XMLSchema" xmlns:xs="http://www.w3.org/2001/XMLSchema" xmlns:p="http://schemas.microsoft.com/office/2006/metadata/properties" xmlns:ns2="b632a0ff-80f8-499d-ad79-eeaeb0246fc2" targetNamespace="http://schemas.microsoft.com/office/2006/metadata/properties" ma:root="true" ma:fieldsID="19e50130f2e2b51092f7f56e8ce16ee1" ns2:_="">
    <xsd:import namespace="b632a0ff-80f8-499d-ad79-eeaeb0246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a0ff-80f8-499d-ad79-eeaeb0246f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83BC-0C01-4665-B979-57E8909C1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49E05-857B-46D1-A084-8E38C4E1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2a0ff-80f8-499d-ad79-eeaeb0246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FE2EF-2D49-4983-BD0F-9CCA013A5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9D5CC-DE21-4634-B368-CB28857F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Andrade Samanhanga</dc:creator>
  <cp:keywords/>
  <dc:description/>
  <cp:lastModifiedBy>DN</cp:lastModifiedBy>
  <cp:revision>3</cp:revision>
  <dcterms:created xsi:type="dcterms:W3CDTF">2025-03-25T15:45:00Z</dcterms:created>
  <dcterms:modified xsi:type="dcterms:W3CDTF">2025-04-02T08:26:00Z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0x010100E57EC0BC01263C47809978F5A09D3D73</vt:lpwstr>
  </property>
  <property fmtid="{D5CDD505-2E9C-101B-9397-08002B2CF9AE}" pid="3" name="MSIP_Label_dbfb4469-32f9-4af3-b66e-a3c55befa5a9_Enabled">
    <vt:lpwstr>true</vt:lpwstr>
  </property>
  <property fmtid="{D5CDD505-2E9C-101B-9397-08002B2CF9AE}" pid="4" name="MSIP_Label_dbfb4469-32f9-4af3-b66e-a3c55befa5a9_SetDate">
    <vt:lpwstr>2024-09-16T16:40:29Z</vt:lpwstr>
  </property>
  <property fmtid="{D5CDD505-2E9C-101B-9397-08002B2CF9AE}" pid="5" name="MSIP_Label_dbfb4469-32f9-4af3-b66e-a3c55befa5a9_Method">
    <vt:lpwstr>Privileged</vt:lpwstr>
  </property>
  <property fmtid="{D5CDD505-2E9C-101B-9397-08002B2CF9AE}" pid="6" name="MSIP_Label_dbfb4469-32f9-4af3-b66e-a3c55befa5a9_Name">
    <vt:lpwstr>defa4170-0d19-0005-0001-bc88714345d2</vt:lpwstr>
  </property>
  <property fmtid="{D5CDD505-2E9C-101B-9397-08002B2CF9AE}" pid="7" name="MSIP_Label_dbfb4469-32f9-4af3-b66e-a3c55befa5a9_SiteId">
    <vt:lpwstr>b7697c94-a3e3-49f6-a540-f02c205e7d5b</vt:lpwstr>
  </property>
  <property fmtid="{D5CDD505-2E9C-101B-9397-08002B2CF9AE}" pid="8" name="MSIP_Label_dbfb4469-32f9-4af3-b66e-a3c55befa5a9_ActionId">
    <vt:lpwstr>12428df1-1585-46bd-8ddf-62430471493d</vt:lpwstr>
  </property>
  <property fmtid="{D5CDD505-2E9C-101B-9397-08002B2CF9AE}" pid="9" name="MSIP_Label_dbfb4469-32f9-4af3-b66e-a3c55befa5a9_ContentBits">
    <vt:lpwstr>0</vt:lpwstr>
  </property>
</Properties>
</file>