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64A7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  <w:r w:rsidRPr="002505B5">
        <w:rPr>
          <w:b/>
          <w:lang w:val="pt-PT"/>
        </w:rPr>
        <w:t>BANCO DE MOÇAMBIQUE</w:t>
      </w:r>
    </w:p>
    <w:p w14:paraId="2928EA03" w14:textId="77777777" w:rsidR="00BE7063" w:rsidRDefault="00BE7063" w:rsidP="00BE7063">
      <w:pPr>
        <w:spacing w:line="360" w:lineRule="auto"/>
        <w:jc w:val="center"/>
        <w:rPr>
          <w:b/>
          <w:lang w:val="pt-PT"/>
        </w:rPr>
      </w:pPr>
    </w:p>
    <w:p w14:paraId="41AF4348" w14:textId="35C38743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  <w:r w:rsidRPr="002505B5">
        <w:rPr>
          <w:b/>
          <w:lang w:val="pt-PT"/>
        </w:rPr>
        <w:t xml:space="preserve">       </w:t>
      </w:r>
    </w:p>
    <w:p w14:paraId="121C6C64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  <w:r w:rsidRPr="002505B5">
        <w:rPr>
          <w:noProof/>
          <w:lang w:val="pt-PT"/>
        </w:rPr>
        <w:drawing>
          <wp:inline distT="0" distB="0" distL="0" distR="0" wp14:anchorId="3028B590" wp14:editId="0B8AF900">
            <wp:extent cx="760095" cy="754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5B5">
        <w:rPr>
          <w:b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6EE0D" w14:textId="77777777" w:rsidR="00CA5FBC" w:rsidRPr="002505B5" w:rsidRDefault="00CA5FBC" w:rsidP="00BE7063">
      <w:pPr>
        <w:tabs>
          <w:tab w:val="num" w:pos="5400"/>
        </w:tabs>
        <w:spacing w:line="360" w:lineRule="auto"/>
        <w:ind w:left="-180"/>
        <w:jc w:val="center"/>
        <w:rPr>
          <w:b/>
          <w:lang w:val="pt-PT"/>
        </w:rPr>
      </w:pPr>
    </w:p>
    <w:p w14:paraId="58974BA0" w14:textId="77777777" w:rsidR="00CA5FBC" w:rsidRPr="002505B5" w:rsidRDefault="00CA5FBC" w:rsidP="00BE7063">
      <w:pPr>
        <w:spacing w:line="360" w:lineRule="auto"/>
        <w:rPr>
          <w:b/>
          <w:u w:val="single"/>
          <w:lang w:val="pt-PT"/>
        </w:rPr>
      </w:pPr>
    </w:p>
    <w:p w14:paraId="3F3D3056" w14:textId="77777777" w:rsidR="00CA5FBC" w:rsidRPr="002505B5" w:rsidRDefault="00CA5FBC" w:rsidP="00BE7063">
      <w:pPr>
        <w:tabs>
          <w:tab w:val="left" w:pos="2130"/>
        </w:tabs>
        <w:spacing w:line="360" w:lineRule="auto"/>
        <w:jc w:val="center"/>
        <w:rPr>
          <w:b/>
          <w:u w:val="single"/>
          <w:lang w:val="pt-PT"/>
        </w:rPr>
      </w:pPr>
    </w:p>
    <w:p w14:paraId="29742CB5" w14:textId="77777777" w:rsidR="00CA5FBC" w:rsidRPr="002505B5" w:rsidRDefault="00CA5FBC" w:rsidP="00BE7063">
      <w:pPr>
        <w:tabs>
          <w:tab w:val="left" w:pos="2130"/>
        </w:tabs>
        <w:spacing w:line="360" w:lineRule="auto"/>
        <w:rPr>
          <w:b/>
          <w:lang w:val="pt-PT"/>
        </w:rPr>
      </w:pPr>
    </w:p>
    <w:p w14:paraId="68E3F0F2" w14:textId="77777777" w:rsidR="00CA5FBC" w:rsidRPr="002505B5" w:rsidRDefault="00CA5FBC" w:rsidP="00BE7063">
      <w:pPr>
        <w:spacing w:line="360" w:lineRule="auto"/>
        <w:jc w:val="center"/>
        <w:rPr>
          <w:b/>
          <w:bCs/>
          <w:lang w:val="pt-PT"/>
        </w:rPr>
      </w:pPr>
    </w:p>
    <w:p w14:paraId="0B9F61EA" w14:textId="7CECF87C" w:rsidR="00CA5FBC" w:rsidRPr="002505B5" w:rsidRDefault="002505B5" w:rsidP="00BE7063">
      <w:pPr>
        <w:pBdr>
          <w:bottom w:val="single" w:sz="4" w:space="1" w:color="auto"/>
        </w:pBdr>
        <w:spacing w:line="360" w:lineRule="auto"/>
        <w:jc w:val="center"/>
        <w:rPr>
          <w:b/>
          <w:bCs/>
          <w:lang w:val="pt-PT"/>
        </w:rPr>
      </w:pPr>
      <w:r w:rsidRPr="002505B5">
        <w:rPr>
          <w:b/>
          <w:bCs/>
          <w:lang w:val="pt-PT"/>
        </w:rPr>
        <w:t>AVISO DO GOVERNADOR DO BANCO DE MOÇAMBIQUE</w:t>
      </w:r>
    </w:p>
    <w:p w14:paraId="7C7BF3FE" w14:textId="77777777" w:rsidR="00CA5FBC" w:rsidRPr="002505B5" w:rsidRDefault="00CA5FBC" w:rsidP="00BE7063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</w:p>
    <w:p w14:paraId="3A4C5B00" w14:textId="74F340A4" w:rsidR="00CA5FBC" w:rsidRPr="002505B5" w:rsidRDefault="00CA5FBC" w:rsidP="00BE7063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  <w:r w:rsidRPr="002505B5">
        <w:rPr>
          <w:b/>
          <w:bCs/>
          <w:lang w:val="pt-PT"/>
        </w:rPr>
        <w:t xml:space="preserve">PROPOSTA DE AVISO </w:t>
      </w:r>
    </w:p>
    <w:p w14:paraId="1E4BCF11" w14:textId="3303D9B3" w:rsidR="00CA5FBC" w:rsidRPr="002505B5" w:rsidRDefault="00CA5FBC" w:rsidP="00BE7063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  <w:r w:rsidRPr="002505B5">
        <w:rPr>
          <w:b/>
          <w:bCs/>
          <w:lang w:val="pt-PT"/>
        </w:rPr>
        <w:t xml:space="preserve">REGRAS DE </w:t>
      </w:r>
      <w:r w:rsidR="000A2375" w:rsidRPr="002505B5">
        <w:rPr>
          <w:b/>
          <w:bCs/>
          <w:lang w:val="pt-PT"/>
        </w:rPr>
        <w:t>PRESTA</w:t>
      </w:r>
      <w:r w:rsidRPr="002505B5">
        <w:rPr>
          <w:b/>
          <w:bCs/>
          <w:lang w:val="pt-PT"/>
        </w:rPr>
        <w:t>ÇÃO DE INFORMAÇÃO PELA</w:t>
      </w:r>
      <w:r w:rsidR="009C40DF" w:rsidRPr="002505B5">
        <w:rPr>
          <w:b/>
          <w:bCs/>
          <w:color w:val="FF0000"/>
          <w:lang w:val="pt-PT"/>
        </w:rPr>
        <w:t xml:space="preserve"> </w:t>
      </w:r>
      <w:bookmarkStart w:id="0" w:name="_Hlk160783880"/>
      <w:r w:rsidR="009C40DF" w:rsidRPr="002505B5">
        <w:rPr>
          <w:b/>
          <w:bCs/>
          <w:lang w:val="pt-PT"/>
        </w:rPr>
        <w:t>ENTIDADE RESPONSÁVEL PELA ORGANIZAÇÃO, GESTÃO E MANUTENÇÃO DO MERCADO SECUNDÁRIO CENTRALIZADO DE VALORES MOBILIÁRIOS</w:t>
      </w:r>
      <w:bookmarkEnd w:id="0"/>
    </w:p>
    <w:p w14:paraId="5D537E44" w14:textId="77777777" w:rsidR="00CA5FBC" w:rsidRPr="002505B5" w:rsidRDefault="00CA5FBC" w:rsidP="00BE7063">
      <w:pPr>
        <w:tabs>
          <w:tab w:val="left" w:pos="2130"/>
        </w:tabs>
        <w:spacing w:line="360" w:lineRule="auto"/>
        <w:jc w:val="center"/>
        <w:rPr>
          <w:b/>
          <w:bCs/>
          <w:lang w:val="pt-PT"/>
        </w:rPr>
      </w:pPr>
    </w:p>
    <w:p w14:paraId="732756A9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</w:p>
    <w:p w14:paraId="473490EC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</w:p>
    <w:p w14:paraId="46A88D91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</w:p>
    <w:p w14:paraId="019DE3F5" w14:textId="77777777" w:rsidR="000F097D" w:rsidRPr="002505B5" w:rsidRDefault="000F097D" w:rsidP="00BE7063">
      <w:pPr>
        <w:spacing w:line="360" w:lineRule="auto"/>
        <w:jc w:val="center"/>
        <w:rPr>
          <w:b/>
          <w:lang w:val="pt-PT"/>
        </w:rPr>
      </w:pPr>
    </w:p>
    <w:p w14:paraId="060C29F6" w14:textId="77777777" w:rsidR="000F097D" w:rsidRPr="002505B5" w:rsidRDefault="000F097D" w:rsidP="00BE7063">
      <w:pPr>
        <w:spacing w:line="360" w:lineRule="auto"/>
        <w:jc w:val="center"/>
        <w:rPr>
          <w:b/>
          <w:lang w:val="pt-PT"/>
        </w:rPr>
      </w:pPr>
    </w:p>
    <w:p w14:paraId="4B4BD9BA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</w:p>
    <w:p w14:paraId="37EC9D8C" w14:textId="77777777" w:rsidR="00CA5FBC" w:rsidRPr="002505B5" w:rsidRDefault="00CA5FBC" w:rsidP="00BE7063">
      <w:pPr>
        <w:spacing w:line="360" w:lineRule="auto"/>
        <w:jc w:val="center"/>
        <w:rPr>
          <w:b/>
          <w:lang w:val="pt-PT"/>
        </w:rPr>
      </w:pPr>
    </w:p>
    <w:p w14:paraId="23D0549D" w14:textId="77777777" w:rsidR="00CA5FBC" w:rsidRPr="002505B5" w:rsidRDefault="00CA5FBC" w:rsidP="00BE7063">
      <w:pPr>
        <w:spacing w:line="360" w:lineRule="auto"/>
        <w:rPr>
          <w:b/>
          <w:lang w:val="pt-PT"/>
        </w:rPr>
      </w:pPr>
    </w:p>
    <w:p w14:paraId="1C8EDFB4" w14:textId="2CD727FD" w:rsidR="00CA5FBC" w:rsidRPr="002505B5" w:rsidRDefault="00CA5FBC" w:rsidP="00BE7063">
      <w:pPr>
        <w:spacing w:line="360" w:lineRule="auto"/>
        <w:jc w:val="center"/>
        <w:rPr>
          <w:lang w:val="pt-PT"/>
        </w:rPr>
        <w:sectPr w:rsidR="00CA5FBC" w:rsidRPr="002505B5" w:rsidSect="00237E0F">
          <w:headerReference w:type="default" r:id="rId9"/>
          <w:footerReference w:type="default" r:id="rId10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  <w:r w:rsidRPr="002505B5">
        <w:rPr>
          <w:lang w:val="pt-PT"/>
        </w:rPr>
        <w:t xml:space="preserve">Maputo, </w:t>
      </w:r>
      <w:r w:rsidR="00A4570F">
        <w:rPr>
          <w:lang w:val="pt-PT"/>
        </w:rPr>
        <w:t>Setembro</w:t>
      </w:r>
      <w:r w:rsidR="008501E4">
        <w:rPr>
          <w:lang w:val="pt-PT"/>
        </w:rPr>
        <w:t xml:space="preserve"> </w:t>
      </w:r>
      <w:r w:rsidRPr="002505B5">
        <w:rPr>
          <w:lang w:val="pt-PT"/>
        </w:rPr>
        <w:t>de 202</w:t>
      </w:r>
      <w:r w:rsidR="00A4570F">
        <w:rPr>
          <w:lang w:val="pt-PT"/>
        </w:rPr>
        <w:t>5</w:t>
      </w:r>
    </w:p>
    <w:p w14:paraId="30C14051" w14:textId="6AE0538A" w:rsidR="00CA5FBC" w:rsidRPr="002505B5" w:rsidRDefault="00CA5FBC" w:rsidP="00BE7063">
      <w:pPr>
        <w:spacing w:line="360" w:lineRule="auto"/>
        <w:jc w:val="both"/>
        <w:rPr>
          <w:b/>
          <w:bCs/>
          <w:lang w:val="pt-PT"/>
        </w:rPr>
      </w:pPr>
      <w:r w:rsidRPr="002505B5">
        <w:rPr>
          <w:b/>
          <w:bCs/>
          <w:lang w:val="pt-PT"/>
        </w:rPr>
        <w:lastRenderedPageBreak/>
        <w:t xml:space="preserve">AVISO N.º </w:t>
      </w:r>
      <w:r w:rsidR="00A4570F">
        <w:rPr>
          <w:b/>
          <w:bCs/>
          <w:lang w:val="pt-PT"/>
        </w:rPr>
        <w:t>XX</w:t>
      </w:r>
      <w:r w:rsidRPr="002505B5">
        <w:rPr>
          <w:b/>
          <w:bCs/>
          <w:lang w:val="pt-PT"/>
        </w:rPr>
        <w:t>/GBM/202</w:t>
      </w:r>
      <w:r w:rsidR="00A4570F">
        <w:rPr>
          <w:b/>
          <w:bCs/>
          <w:lang w:val="pt-PT"/>
        </w:rPr>
        <w:t>5</w:t>
      </w:r>
    </w:p>
    <w:p w14:paraId="00CD2751" w14:textId="2383815A" w:rsidR="00CA5FBC" w:rsidRPr="002505B5" w:rsidRDefault="00CA5FBC" w:rsidP="00BE7063">
      <w:pPr>
        <w:spacing w:line="360" w:lineRule="auto"/>
        <w:jc w:val="both"/>
        <w:rPr>
          <w:b/>
          <w:bCs/>
          <w:lang w:val="pt-PT"/>
        </w:rPr>
      </w:pPr>
      <w:r w:rsidRPr="002505B5">
        <w:rPr>
          <w:b/>
          <w:bCs/>
          <w:lang w:val="pt-PT"/>
        </w:rPr>
        <w:t xml:space="preserve">MAPUTO, XX DE </w:t>
      </w:r>
      <w:r w:rsidR="00A4570F">
        <w:rPr>
          <w:b/>
          <w:bCs/>
          <w:lang w:val="pt-PT"/>
        </w:rPr>
        <w:t>SETEMBRO</w:t>
      </w:r>
      <w:r w:rsidR="00C939F3" w:rsidRPr="002505B5">
        <w:rPr>
          <w:b/>
          <w:bCs/>
          <w:lang w:val="pt-PT"/>
        </w:rPr>
        <w:t xml:space="preserve"> </w:t>
      </w:r>
      <w:r w:rsidRPr="002505B5">
        <w:rPr>
          <w:b/>
          <w:bCs/>
          <w:lang w:val="pt-PT"/>
        </w:rPr>
        <w:t>DE 202</w:t>
      </w:r>
      <w:r w:rsidR="00A4570F">
        <w:rPr>
          <w:b/>
          <w:bCs/>
          <w:lang w:val="pt-PT"/>
        </w:rPr>
        <w:t>5</w:t>
      </w:r>
    </w:p>
    <w:p w14:paraId="5969F144" w14:textId="77777777" w:rsidR="00CA5FBC" w:rsidRPr="002505B5" w:rsidRDefault="00CA5FBC" w:rsidP="00BE7063">
      <w:pPr>
        <w:spacing w:line="360" w:lineRule="auto"/>
        <w:jc w:val="both"/>
        <w:rPr>
          <w:rFonts w:eastAsia="Arial Unicode MS"/>
          <w:b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7586"/>
      </w:tblGrid>
      <w:tr w:rsidR="002505B5" w:rsidRPr="00A4570F" w14:paraId="526ACA02" w14:textId="77777777" w:rsidTr="002505B5">
        <w:tc>
          <w:tcPr>
            <w:tcW w:w="1430" w:type="dxa"/>
          </w:tcPr>
          <w:p w14:paraId="57B45F08" w14:textId="77777777" w:rsidR="002505B5" w:rsidRPr="002505B5" w:rsidRDefault="002505B5" w:rsidP="00BE7063">
            <w:pPr>
              <w:spacing w:line="360" w:lineRule="auto"/>
              <w:jc w:val="both"/>
              <w:rPr>
                <w:rFonts w:eastAsia="Arial Unicode MS"/>
                <w:b/>
                <w:lang w:val="pt-PT"/>
              </w:rPr>
            </w:pPr>
            <w:r w:rsidRPr="002505B5">
              <w:rPr>
                <w:rFonts w:eastAsia="Arial Unicode MS"/>
                <w:b/>
                <w:lang w:val="pt-PT"/>
              </w:rPr>
              <w:t xml:space="preserve">ASSUNTO: </w:t>
            </w:r>
          </w:p>
          <w:p w14:paraId="5CC3C9A2" w14:textId="77777777" w:rsidR="002505B5" w:rsidRPr="002505B5" w:rsidRDefault="002505B5" w:rsidP="00BE7063">
            <w:pPr>
              <w:spacing w:line="360" w:lineRule="auto"/>
              <w:jc w:val="both"/>
              <w:rPr>
                <w:rFonts w:eastAsia="Arial Unicode MS"/>
                <w:b/>
                <w:lang w:val="pt-PT"/>
              </w:rPr>
            </w:pPr>
          </w:p>
        </w:tc>
        <w:tc>
          <w:tcPr>
            <w:tcW w:w="7586" w:type="dxa"/>
          </w:tcPr>
          <w:p w14:paraId="5E1B2517" w14:textId="65D482B8" w:rsidR="002505B5" w:rsidRPr="002505B5" w:rsidRDefault="002505B5" w:rsidP="00BE7063">
            <w:pPr>
              <w:spacing w:line="360" w:lineRule="auto"/>
              <w:jc w:val="both"/>
              <w:rPr>
                <w:rFonts w:eastAsia="Arial Unicode MS"/>
                <w:b/>
                <w:u w:val="single"/>
                <w:lang w:val="pt-PT"/>
              </w:rPr>
            </w:pPr>
            <w:r w:rsidRPr="002505B5">
              <w:rPr>
                <w:b/>
                <w:bCs/>
                <w:u w:val="single"/>
                <w:lang w:val="pt-PT"/>
              </w:rPr>
              <w:t xml:space="preserve">REGRAS DE PRESTAÇÃO DE INFORMAÇÃO </w:t>
            </w:r>
            <w:r w:rsidRPr="008501E4">
              <w:rPr>
                <w:b/>
                <w:bCs/>
                <w:u w:val="single"/>
                <w:lang w:val="pt-PT"/>
              </w:rPr>
              <w:t xml:space="preserve">PELA ENTIDADE </w:t>
            </w:r>
            <w:r w:rsidRPr="002505B5">
              <w:rPr>
                <w:b/>
                <w:bCs/>
                <w:u w:val="single"/>
                <w:lang w:val="pt-PT"/>
              </w:rPr>
              <w:t>RESPONSÁVEL PELA ORGANIZAÇÃO, GESTÃO E MANUTENÇÃO DO MERCADO SECUNDÁRIO CENTRALIZADO DE VALORES MOBILIÁRIOS</w:t>
            </w:r>
          </w:p>
        </w:tc>
      </w:tr>
    </w:tbl>
    <w:p w14:paraId="5059A94D" w14:textId="77777777" w:rsidR="00CA5FBC" w:rsidRPr="002505B5" w:rsidRDefault="00CA5FBC" w:rsidP="00BE7063">
      <w:pPr>
        <w:tabs>
          <w:tab w:val="left" w:pos="6860"/>
        </w:tabs>
        <w:spacing w:line="360" w:lineRule="auto"/>
        <w:jc w:val="both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ab/>
      </w:r>
    </w:p>
    <w:p w14:paraId="40DA304A" w14:textId="5A6BB31B" w:rsidR="00B72DB9" w:rsidRPr="002505B5" w:rsidRDefault="00CA5FBC" w:rsidP="00BE7063">
      <w:pPr>
        <w:spacing w:line="360" w:lineRule="auto"/>
        <w:jc w:val="both"/>
        <w:rPr>
          <w:lang w:val="pt-PT"/>
        </w:rPr>
      </w:pPr>
      <w:r w:rsidRPr="002505B5">
        <w:rPr>
          <w:lang w:val="pt-PT"/>
        </w:rPr>
        <w:t xml:space="preserve">Havendo necessidade de </w:t>
      </w:r>
      <w:r w:rsidR="007C2B08" w:rsidRPr="002505B5">
        <w:rPr>
          <w:lang w:val="pt-PT"/>
        </w:rPr>
        <w:t>promover a transparência</w:t>
      </w:r>
      <w:r w:rsidR="00E623EF">
        <w:rPr>
          <w:lang w:val="pt-PT"/>
        </w:rPr>
        <w:t xml:space="preserve">, </w:t>
      </w:r>
      <w:r w:rsidR="00E623EF" w:rsidRPr="00841426">
        <w:rPr>
          <w:lang w:val="pt-PT"/>
        </w:rPr>
        <w:t>eficiência e integridade dos mercados,</w:t>
      </w:r>
      <w:r w:rsidR="007C2B08" w:rsidRPr="002505B5">
        <w:rPr>
          <w:lang w:val="pt-PT"/>
        </w:rPr>
        <w:t xml:space="preserve"> no âmbito da divulgação</w:t>
      </w:r>
      <w:r w:rsidR="0047260C" w:rsidRPr="002505B5">
        <w:rPr>
          <w:lang w:val="pt-PT"/>
        </w:rPr>
        <w:t xml:space="preserve"> e prestação</w:t>
      </w:r>
      <w:r w:rsidR="007C2B08" w:rsidRPr="002505B5">
        <w:rPr>
          <w:lang w:val="pt-PT"/>
        </w:rPr>
        <w:t xml:space="preserve"> de informação pela</w:t>
      </w:r>
      <w:r w:rsidR="00B72DB9" w:rsidRPr="002505B5">
        <w:rPr>
          <w:lang w:val="pt-PT"/>
        </w:rPr>
        <w:t xml:space="preserve"> </w:t>
      </w:r>
      <w:r w:rsidR="002505B5" w:rsidRPr="002505B5">
        <w:rPr>
          <w:lang w:val="pt-PT"/>
        </w:rPr>
        <w:t xml:space="preserve">entidade </w:t>
      </w:r>
      <w:r w:rsidR="00B72DB9" w:rsidRPr="002505B5">
        <w:rPr>
          <w:lang w:val="pt-PT"/>
        </w:rPr>
        <w:t xml:space="preserve">responsável pela organização, gestão e manutenção do </w:t>
      </w:r>
      <w:bookmarkStart w:id="1" w:name="_Hlk159576723"/>
      <w:r w:rsidR="00B72DB9" w:rsidRPr="002505B5">
        <w:rPr>
          <w:lang w:val="pt-PT"/>
        </w:rPr>
        <w:t>mercado secundário centralizado de valores mobiliários</w:t>
      </w:r>
      <w:bookmarkEnd w:id="1"/>
      <w:r w:rsidR="001365AD" w:rsidRPr="002505B5">
        <w:rPr>
          <w:lang w:val="pt-PT"/>
        </w:rPr>
        <w:t xml:space="preserve">, </w:t>
      </w:r>
      <w:r w:rsidR="007C2B08" w:rsidRPr="002505B5">
        <w:rPr>
          <w:lang w:val="pt-PT"/>
        </w:rPr>
        <w:t>o Banco de Moçambique,</w:t>
      </w:r>
      <w:r w:rsidR="001365AD" w:rsidRPr="002505B5">
        <w:rPr>
          <w:lang w:val="pt-PT"/>
        </w:rPr>
        <w:t xml:space="preserve"> no uso da competência que lhe é conferida pelos números 1 e 3 do artigo 4 do </w:t>
      </w:r>
      <w:r w:rsidR="002505B5" w:rsidRPr="002505B5">
        <w:rPr>
          <w:lang w:val="pt-PT"/>
        </w:rPr>
        <w:t xml:space="preserve">Código do Mercado de Valores Mobiliários aprovado pelo </w:t>
      </w:r>
      <w:r w:rsidR="001365AD" w:rsidRPr="002505B5">
        <w:rPr>
          <w:lang w:val="pt-PT"/>
        </w:rPr>
        <w:t xml:space="preserve">Decreto-Lei n.º 4/2009, de 24 de Julho, </w:t>
      </w:r>
      <w:r w:rsidR="007C2B08" w:rsidRPr="002505B5">
        <w:rPr>
          <w:lang w:val="pt-PT"/>
        </w:rPr>
        <w:t>determina:</w:t>
      </w:r>
    </w:p>
    <w:p w14:paraId="5D28A663" w14:textId="77777777" w:rsidR="002505B5" w:rsidRPr="002505B5" w:rsidRDefault="002505B5" w:rsidP="00BE7063">
      <w:pPr>
        <w:spacing w:line="360" w:lineRule="auto"/>
        <w:jc w:val="both"/>
        <w:rPr>
          <w:lang w:val="pt-PT"/>
        </w:rPr>
      </w:pPr>
    </w:p>
    <w:p w14:paraId="652429CF" w14:textId="6A0F885C" w:rsidR="00CA5FBC" w:rsidRPr="002505B5" w:rsidRDefault="00CA5FBC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CAPÍTULO I</w:t>
      </w:r>
    </w:p>
    <w:p w14:paraId="3764C8C2" w14:textId="77777777" w:rsidR="00CA5FBC" w:rsidRPr="002505B5" w:rsidRDefault="00CA5FBC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DISPOSIÇÕES GERAIS</w:t>
      </w:r>
    </w:p>
    <w:p w14:paraId="30769D29" w14:textId="77777777" w:rsidR="00CA5FBC" w:rsidRPr="002505B5" w:rsidRDefault="00CA5FBC" w:rsidP="00BE7063">
      <w:pPr>
        <w:spacing w:line="360" w:lineRule="auto"/>
        <w:jc w:val="center"/>
        <w:rPr>
          <w:rFonts w:eastAsia="Arial Unicode MS"/>
          <w:b/>
          <w:lang w:val="pt-PT"/>
        </w:rPr>
      </w:pPr>
    </w:p>
    <w:p w14:paraId="5177E9D6" w14:textId="77777777" w:rsidR="00CA5FBC" w:rsidRPr="002505B5" w:rsidRDefault="00CA5FBC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Artigo 1</w:t>
      </w:r>
    </w:p>
    <w:p w14:paraId="00529C93" w14:textId="77777777" w:rsidR="00CA5FBC" w:rsidRPr="002505B5" w:rsidRDefault="00CA5FBC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Objecto</w:t>
      </w:r>
    </w:p>
    <w:p w14:paraId="009C8F7B" w14:textId="4698EAE3" w:rsidR="002E08FC" w:rsidRPr="002505B5" w:rsidRDefault="007C2B08" w:rsidP="00BE7063">
      <w:pPr>
        <w:tabs>
          <w:tab w:val="left" w:pos="360"/>
        </w:tabs>
        <w:spacing w:line="360" w:lineRule="auto"/>
        <w:ind w:left="142"/>
        <w:jc w:val="both"/>
        <w:rPr>
          <w:rFonts w:eastAsia="Arial Unicode MS"/>
          <w:bCs/>
          <w:lang w:val="pt-PT"/>
        </w:rPr>
      </w:pPr>
      <w:r w:rsidRPr="002505B5">
        <w:rPr>
          <w:rFonts w:eastAsia="Arial Unicode MS"/>
          <w:bCs/>
          <w:lang w:val="pt-PT"/>
        </w:rPr>
        <w:t xml:space="preserve">O presente </w:t>
      </w:r>
      <w:r w:rsidR="002505B5" w:rsidRPr="002505B5">
        <w:rPr>
          <w:rFonts w:eastAsia="Arial Unicode MS"/>
          <w:bCs/>
          <w:lang w:val="pt-PT"/>
        </w:rPr>
        <w:t xml:space="preserve">Regulamento </w:t>
      </w:r>
      <w:r w:rsidRPr="002505B5">
        <w:rPr>
          <w:rFonts w:eastAsia="Arial Unicode MS"/>
          <w:bCs/>
          <w:lang w:val="pt-PT"/>
        </w:rPr>
        <w:t xml:space="preserve">estabelece as regras que devem ser observadas no âmbito da </w:t>
      </w:r>
      <w:r w:rsidR="000A2375" w:rsidRPr="002505B5">
        <w:rPr>
          <w:rFonts w:eastAsia="Arial Unicode MS"/>
          <w:bCs/>
          <w:lang w:val="pt-PT"/>
        </w:rPr>
        <w:t>presta</w:t>
      </w:r>
      <w:r w:rsidRPr="002505B5">
        <w:rPr>
          <w:rFonts w:eastAsia="Arial Unicode MS"/>
          <w:bCs/>
          <w:lang w:val="pt-PT"/>
        </w:rPr>
        <w:t xml:space="preserve">ção de informação </w:t>
      </w:r>
      <w:bookmarkStart w:id="2" w:name="_Hlk160783829"/>
      <w:r w:rsidRPr="002505B5">
        <w:rPr>
          <w:rFonts w:eastAsia="Arial Unicode MS"/>
          <w:bCs/>
          <w:lang w:val="pt-PT"/>
        </w:rPr>
        <w:t xml:space="preserve">pela </w:t>
      </w:r>
      <w:r w:rsidR="000A2375" w:rsidRPr="002505B5">
        <w:rPr>
          <w:rFonts w:eastAsia="Arial Unicode MS"/>
          <w:bCs/>
          <w:lang w:val="pt-PT"/>
        </w:rPr>
        <w:t>entidade responsável pela organização, gestão e manutenção do mercado secundário centralizado de valores mobiliários</w:t>
      </w:r>
      <w:bookmarkEnd w:id="2"/>
      <w:r w:rsidR="005A764A" w:rsidRPr="002505B5">
        <w:rPr>
          <w:rFonts w:eastAsia="Arial Unicode MS"/>
          <w:bCs/>
          <w:lang w:val="pt-PT"/>
        </w:rPr>
        <w:t>.</w:t>
      </w:r>
    </w:p>
    <w:p w14:paraId="5307F8EF" w14:textId="77777777" w:rsidR="002E08FC" w:rsidRPr="002505B5" w:rsidRDefault="002E08FC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</w:p>
    <w:p w14:paraId="2A32F546" w14:textId="77777777" w:rsidR="002E08FC" w:rsidRPr="002505B5" w:rsidRDefault="002E08FC" w:rsidP="00BE7063">
      <w:pPr>
        <w:pStyle w:val="Heading5"/>
        <w:rPr>
          <w:rFonts w:eastAsia="Arial Unicode MS"/>
        </w:rPr>
      </w:pPr>
      <w:r w:rsidRPr="002505B5">
        <w:rPr>
          <w:rFonts w:eastAsia="Arial Unicode MS"/>
        </w:rPr>
        <w:t>Artigo 2</w:t>
      </w:r>
    </w:p>
    <w:p w14:paraId="7FF845E8" w14:textId="77777777" w:rsidR="002E08FC" w:rsidRPr="002505B5" w:rsidRDefault="002E08FC" w:rsidP="00BE7063">
      <w:pPr>
        <w:pStyle w:val="Heading5"/>
        <w:rPr>
          <w:rFonts w:eastAsia="Arial Unicode MS"/>
        </w:rPr>
      </w:pPr>
      <w:r w:rsidRPr="002505B5">
        <w:rPr>
          <w:rFonts w:eastAsia="Arial Unicode MS"/>
        </w:rPr>
        <w:t>Âmbito de aplicação</w:t>
      </w:r>
    </w:p>
    <w:p w14:paraId="506E1546" w14:textId="2822D6E8" w:rsidR="002E08FC" w:rsidRPr="002505B5" w:rsidRDefault="005A764A" w:rsidP="00BE7063">
      <w:pPr>
        <w:pStyle w:val="ListParagraph"/>
        <w:numPr>
          <w:ilvl w:val="0"/>
          <w:numId w:val="35"/>
        </w:numPr>
        <w:spacing w:line="360" w:lineRule="auto"/>
        <w:ind w:left="426" w:hanging="426"/>
        <w:jc w:val="both"/>
        <w:rPr>
          <w:rFonts w:eastAsia="Arial Unicode MS"/>
          <w:bCs/>
          <w:lang w:val="pt-PT"/>
        </w:rPr>
      </w:pPr>
      <w:r w:rsidRPr="00D01F98">
        <w:rPr>
          <w:rFonts w:eastAsia="Arial Unicode MS"/>
          <w:bCs/>
          <w:lang w:val="pt-PT"/>
        </w:rPr>
        <w:t xml:space="preserve">O presente </w:t>
      </w:r>
      <w:r w:rsidR="002505B5" w:rsidRPr="00D01F98">
        <w:rPr>
          <w:rFonts w:eastAsia="Arial Unicode MS"/>
          <w:bCs/>
          <w:lang w:val="pt-PT"/>
        </w:rPr>
        <w:t xml:space="preserve">Regulamento </w:t>
      </w:r>
      <w:r w:rsidRPr="00D01F98">
        <w:rPr>
          <w:rFonts w:eastAsia="Arial Unicode MS"/>
          <w:bCs/>
          <w:lang w:val="pt-PT"/>
        </w:rPr>
        <w:t xml:space="preserve">aplica-se à </w:t>
      </w:r>
      <w:bookmarkStart w:id="3" w:name="_Hlk158630619"/>
      <w:r w:rsidR="000A2375" w:rsidRPr="00D01F98">
        <w:rPr>
          <w:rFonts w:eastAsia="Arial Unicode MS"/>
          <w:bCs/>
          <w:lang w:val="pt-PT"/>
        </w:rPr>
        <w:t xml:space="preserve">entidade </w:t>
      </w:r>
      <w:r w:rsidRPr="00D01F98">
        <w:rPr>
          <w:rFonts w:eastAsia="Arial Unicode MS"/>
          <w:bCs/>
          <w:lang w:val="pt-PT"/>
        </w:rPr>
        <w:t>responsável pela organização, gestão e manutenção do mercado secundário centralizado de valores mobiliários</w:t>
      </w:r>
      <w:bookmarkEnd w:id="3"/>
      <w:r w:rsidRPr="00D01F98">
        <w:rPr>
          <w:rFonts w:eastAsia="Arial Unicode MS"/>
          <w:bCs/>
          <w:lang w:val="pt-PT"/>
        </w:rPr>
        <w:t>.</w:t>
      </w:r>
    </w:p>
    <w:p w14:paraId="3F9CD7E3" w14:textId="48CEC140" w:rsidR="002505B5" w:rsidRPr="00D01F98" w:rsidRDefault="00D54E9F" w:rsidP="00BE7063">
      <w:pPr>
        <w:pStyle w:val="ListParagraph"/>
        <w:numPr>
          <w:ilvl w:val="0"/>
          <w:numId w:val="35"/>
        </w:numPr>
        <w:spacing w:line="360" w:lineRule="auto"/>
        <w:ind w:left="426" w:hanging="426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A</w:t>
      </w:r>
      <w:r w:rsidR="002505B5" w:rsidRPr="002505B5">
        <w:rPr>
          <w:rFonts w:eastAsia="Arial Unicode MS"/>
          <w:bCs/>
          <w:lang w:val="pt-PT"/>
        </w:rPr>
        <w:t xml:space="preserve"> entidade responsável pela organização, gestão e manutenção do mercado secundário centralizado de valores mobiliários é a Bolsa de Valores de Moçambique, abreviadamente designada por </w:t>
      </w:r>
      <w:r>
        <w:rPr>
          <w:rFonts w:eastAsia="Arial Unicode MS"/>
          <w:bCs/>
          <w:lang w:val="pt-PT"/>
        </w:rPr>
        <w:t>BVM</w:t>
      </w:r>
      <w:r w:rsidR="002505B5" w:rsidRPr="002505B5">
        <w:rPr>
          <w:rFonts w:eastAsia="Arial Unicode MS"/>
          <w:bCs/>
          <w:lang w:val="pt-PT"/>
        </w:rPr>
        <w:t>.</w:t>
      </w:r>
    </w:p>
    <w:p w14:paraId="33A3F23D" w14:textId="77777777" w:rsidR="002E08FC" w:rsidRDefault="002E08FC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</w:p>
    <w:p w14:paraId="7FE4C388" w14:textId="77777777" w:rsidR="00BE7063" w:rsidRDefault="00BE7063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</w:p>
    <w:p w14:paraId="366108DE" w14:textId="77777777" w:rsidR="00BE7063" w:rsidRPr="002505B5" w:rsidRDefault="00BE7063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</w:p>
    <w:p w14:paraId="7F8A3018" w14:textId="77777777" w:rsidR="002E08FC" w:rsidRPr="002505B5" w:rsidRDefault="002E08FC" w:rsidP="00BE7063">
      <w:pPr>
        <w:tabs>
          <w:tab w:val="left" w:pos="3420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lastRenderedPageBreak/>
        <w:t>Artigo 3</w:t>
      </w:r>
    </w:p>
    <w:p w14:paraId="11383739" w14:textId="77777777" w:rsidR="002E08FC" w:rsidRPr="002505B5" w:rsidRDefault="002E08FC" w:rsidP="00BE7063">
      <w:pPr>
        <w:tabs>
          <w:tab w:val="left" w:pos="3420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Definições</w:t>
      </w:r>
    </w:p>
    <w:p w14:paraId="4823B655" w14:textId="4FFE02CD" w:rsidR="002E08FC" w:rsidRPr="002505B5" w:rsidRDefault="005A764A" w:rsidP="00BE7063">
      <w:p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2505B5">
        <w:rPr>
          <w:rFonts w:eastAsia="Arial Unicode MS"/>
          <w:bCs/>
          <w:lang w:val="pt-PT"/>
        </w:rPr>
        <w:t xml:space="preserve">Os termos e expressões usados no presente </w:t>
      </w:r>
      <w:r w:rsidR="002505B5" w:rsidRPr="002505B5">
        <w:rPr>
          <w:rFonts w:eastAsia="Arial Unicode MS"/>
          <w:bCs/>
          <w:lang w:val="pt-PT"/>
        </w:rPr>
        <w:t>Regulamento constam</w:t>
      </w:r>
      <w:r w:rsidRPr="002505B5">
        <w:rPr>
          <w:rFonts w:eastAsia="Arial Unicode MS"/>
          <w:bCs/>
          <w:lang w:val="pt-PT"/>
        </w:rPr>
        <w:t xml:space="preserve"> </w:t>
      </w:r>
      <w:r w:rsidR="002505B5" w:rsidRPr="002505B5">
        <w:rPr>
          <w:rFonts w:eastAsia="Arial Unicode MS"/>
          <w:bCs/>
          <w:lang w:val="pt-PT"/>
        </w:rPr>
        <w:t>d</w:t>
      </w:r>
      <w:r w:rsidRPr="002505B5">
        <w:rPr>
          <w:rFonts w:eastAsia="Arial Unicode MS"/>
          <w:bCs/>
          <w:lang w:val="pt-PT"/>
        </w:rPr>
        <w:t>o Glossário</w:t>
      </w:r>
      <w:r w:rsidR="002505B5" w:rsidRPr="002505B5">
        <w:rPr>
          <w:rFonts w:eastAsia="Arial Unicode MS"/>
          <w:bCs/>
          <w:lang w:val="pt-PT"/>
        </w:rPr>
        <w:t>, em</w:t>
      </w:r>
      <w:r w:rsidRPr="002505B5">
        <w:rPr>
          <w:rFonts w:eastAsia="Arial Unicode MS"/>
          <w:bCs/>
          <w:lang w:val="pt-PT"/>
        </w:rPr>
        <w:t xml:space="preserve"> Anexo, que dele </w:t>
      </w:r>
      <w:r w:rsidR="002505B5" w:rsidRPr="002505B5">
        <w:rPr>
          <w:rFonts w:eastAsia="Arial Unicode MS"/>
          <w:bCs/>
          <w:lang w:val="pt-PT"/>
        </w:rPr>
        <w:t xml:space="preserve">é </w:t>
      </w:r>
      <w:r w:rsidRPr="002505B5">
        <w:rPr>
          <w:rFonts w:eastAsia="Arial Unicode MS"/>
          <w:bCs/>
          <w:lang w:val="pt-PT"/>
        </w:rPr>
        <w:t>parte integrante.</w:t>
      </w:r>
    </w:p>
    <w:p w14:paraId="6FABBF2F" w14:textId="77777777" w:rsidR="00591413" w:rsidRDefault="00591413" w:rsidP="00BE7063">
      <w:pPr>
        <w:tabs>
          <w:tab w:val="left" w:pos="360"/>
        </w:tabs>
        <w:spacing w:line="360" w:lineRule="auto"/>
        <w:ind w:left="180"/>
        <w:jc w:val="both"/>
        <w:rPr>
          <w:rFonts w:eastAsia="Arial Unicode MS"/>
          <w:bCs/>
          <w:lang w:val="pt-PT"/>
        </w:rPr>
      </w:pPr>
    </w:p>
    <w:p w14:paraId="4FCDD2AE" w14:textId="77777777" w:rsidR="002E08FC" w:rsidRPr="002505B5" w:rsidRDefault="002E08FC" w:rsidP="00BE7063">
      <w:pPr>
        <w:tabs>
          <w:tab w:val="left" w:pos="360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CAPÍTULO II</w:t>
      </w:r>
    </w:p>
    <w:p w14:paraId="0F60C856" w14:textId="73EB285E" w:rsidR="002E08FC" w:rsidRPr="002505B5" w:rsidRDefault="000A2375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PRESTA</w:t>
      </w:r>
      <w:r w:rsidR="005A764A" w:rsidRPr="002505B5">
        <w:rPr>
          <w:rFonts w:eastAsia="Arial Unicode MS"/>
          <w:b/>
          <w:lang w:val="pt-PT"/>
        </w:rPr>
        <w:t>ÇÃO DE INFORMAÇÃO</w:t>
      </w:r>
    </w:p>
    <w:p w14:paraId="57878C28" w14:textId="011F2066" w:rsidR="002165E6" w:rsidRPr="002505B5" w:rsidRDefault="002165E6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</w:p>
    <w:p w14:paraId="1DD67AC7" w14:textId="532C06BE" w:rsidR="00B958C0" w:rsidRPr="002505B5" w:rsidRDefault="00B958C0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Artigo </w:t>
      </w:r>
      <w:r w:rsidR="009C40DF" w:rsidRPr="002505B5">
        <w:rPr>
          <w:rFonts w:eastAsia="Arial Unicode MS"/>
          <w:b/>
          <w:lang w:val="pt-PT"/>
        </w:rPr>
        <w:t>4</w:t>
      </w:r>
    </w:p>
    <w:p w14:paraId="45BD2BD2" w14:textId="3BFAB6DF" w:rsidR="0078297E" w:rsidRPr="002505B5" w:rsidRDefault="002505B5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Dever </w:t>
      </w:r>
      <w:r w:rsidR="00591413" w:rsidRPr="002505B5">
        <w:rPr>
          <w:rFonts w:eastAsia="Arial Unicode MS"/>
          <w:b/>
          <w:lang w:val="pt-PT"/>
        </w:rPr>
        <w:t>de informação ao público</w:t>
      </w:r>
    </w:p>
    <w:p w14:paraId="6D0CB2A3" w14:textId="7F5CD885" w:rsidR="00D54E9F" w:rsidRPr="00A4570F" w:rsidRDefault="00D54E9F" w:rsidP="00A4570F">
      <w:pPr>
        <w:pStyle w:val="ListParagraph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A BVM deve divulgar ao público a seguinte informação:</w:t>
      </w:r>
    </w:p>
    <w:p w14:paraId="50F512D1" w14:textId="77777777" w:rsidR="00D54E9F" w:rsidRDefault="00D54E9F" w:rsidP="00D54E9F">
      <w:pPr>
        <w:pStyle w:val="ListParagraph"/>
        <w:numPr>
          <w:ilvl w:val="0"/>
          <w:numId w:val="38"/>
        </w:numPr>
        <w:tabs>
          <w:tab w:val="left" w:pos="426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D54E9F">
        <w:rPr>
          <w:rFonts w:eastAsia="Arial Unicode MS"/>
          <w:bCs/>
          <w:lang w:val="pt-PT"/>
        </w:rPr>
        <w:t>boletim de cotações</w:t>
      </w:r>
      <w:r>
        <w:rPr>
          <w:rFonts w:eastAsia="Arial Unicode MS"/>
          <w:bCs/>
          <w:lang w:val="pt-PT"/>
        </w:rPr>
        <w:t>;</w:t>
      </w:r>
    </w:p>
    <w:p w14:paraId="3DC7D58D" w14:textId="5F70B007" w:rsidR="00D54E9F" w:rsidRPr="00D54E9F" w:rsidRDefault="00D54E9F" w:rsidP="00D54E9F">
      <w:pPr>
        <w:pStyle w:val="ListParagraph"/>
        <w:numPr>
          <w:ilvl w:val="0"/>
          <w:numId w:val="38"/>
        </w:numPr>
        <w:tabs>
          <w:tab w:val="left" w:pos="426"/>
        </w:tabs>
        <w:spacing w:line="360" w:lineRule="auto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V</w:t>
      </w:r>
      <w:r w:rsidRPr="00D54E9F">
        <w:rPr>
          <w:rFonts w:eastAsia="Arial Unicode MS"/>
          <w:bCs/>
          <w:lang w:val="pt-PT"/>
        </w:rPr>
        <w:t>olume de transa</w:t>
      </w:r>
      <w:r>
        <w:rPr>
          <w:rFonts w:eastAsia="Arial Unicode MS"/>
          <w:bCs/>
          <w:lang w:val="pt-PT"/>
        </w:rPr>
        <w:t>c</w:t>
      </w:r>
      <w:r w:rsidRPr="00D54E9F">
        <w:rPr>
          <w:rFonts w:eastAsia="Arial Unicode MS"/>
          <w:bCs/>
          <w:lang w:val="pt-PT"/>
        </w:rPr>
        <w:t>ções realizadas indicando o título, preço e o número de unidades transacionadas;</w:t>
      </w:r>
    </w:p>
    <w:p w14:paraId="1B7EA4D2" w14:textId="22EFBCFC" w:rsidR="00D54E9F" w:rsidRPr="00D54E9F" w:rsidRDefault="00D54E9F" w:rsidP="00D54E9F">
      <w:pPr>
        <w:pStyle w:val="ListParagraph"/>
        <w:numPr>
          <w:ilvl w:val="0"/>
          <w:numId w:val="38"/>
        </w:numPr>
        <w:tabs>
          <w:tab w:val="left" w:pos="426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D54E9F">
        <w:rPr>
          <w:rFonts w:eastAsia="Arial Unicode MS"/>
          <w:bCs/>
          <w:lang w:val="pt-PT"/>
        </w:rPr>
        <w:t>Relatórios mensais do mercado (títulos negociados e os movimentos de preços de cada título, incluindo preços mínimos, máximos e médios);</w:t>
      </w:r>
    </w:p>
    <w:p w14:paraId="402B9D4C" w14:textId="3118C887" w:rsidR="00154E33" w:rsidRPr="00A4570F" w:rsidRDefault="00154E33" w:rsidP="00A4570F">
      <w:pPr>
        <w:pStyle w:val="ListParagraph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 xml:space="preserve">No âmbito da publicação do </w:t>
      </w:r>
      <w:r w:rsidR="00BE7063" w:rsidRPr="00A4570F">
        <w:rPr>
          <w:rFonts w:eastAsia="Arial Unicode MS"/>
          <w:bCs/>
          <w:lang w:val="pt-PT"/>
        </w:rPr>
        <w:t>b</w:t>
      </w:r>
      <w:r w:rsidRPr="00A4570F">
        <w:rPr>
          <w:rFonts w:eastAsia="Arial Unicode MS"/>
          <w:bCs/>
          <w:lang w:val="pt-PT"/>
        </w:rPr>
        <w:t xml:space="preserve">oletim de </w:t>
      </w:r>
      <w:r w:rsidR="00BE7063" w:rsidRPr="00A4570F">
        <w:rPr>
          <w:rFonts w:eastAsia="Arial Unicode MS"/>
          <w:bCs/>
          <w:lang w:val="pt-PT"/>
        </w:rPr>
        <w:t>c</w:t>
      </w:r>
      <w:r w:rsidRPr="00A4570F">
        <w:rPr>
          <w:rFonts w:eastAsia="Arial Unicode MS"/>
          <w:bCs/>
          <w:lang w:val="pt-PT"/>
        </w:rPr>
        <w:t xml:space="preserve">otações, a </w:t>
      </w:r>
      <w:r w:rsidR="00D54E9F" w:rsidRPr="00A4570F">
        <w:rPr>
          <w:rFonts w:eastAsia="Arial Unicode MS"/>
          <w:bCs/>
          <w:lang w:val="pt-PT"/>
        </w:rPr>
        <w:t>BVM</w:t>
      </w:r>
      <w:r w:rsidRPr="00A4570F">
        <w:rPr>
          <w:rFonts w:eastAsia="Arial Unicode MS"/>
          <w:bCs/>
          <w:lang w:val="pt-PT"/>
        </w:rPr>
        <w:t xml:space="preserve"> não deve cobrar ou impor comissões ou encargos de qualquer natureza pela prestação de informação e assistência ao público.</w:t>
      </w:r>
    </w:p>
    <w:p w14:paraId="039D2066" w14:textId="77777777" w:rsidR="00B22CFF" w:rsidRPr="002505B5" w:rsidRDefault="00B22CFF" w:rsidP="00BE7063">
      <w:p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</w:p>
    <w:p w14:paraId="72770E21" w14:textId="428C6419" w:rsidR="00FB2D63" w:rsidRPr="002505B5" w:rsidRDefault="00FB2D63" w:rsidP="00BE7063">
      <w:pPr>
        <w:tabs>
          <w:tab w:val="left" w:pos="360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Artigo </w:t>
      </w:r>
      <w:r w:rsidR="00154E33">
        <w:rPr>
          <w:rFonts w:eastAsia="Arial Unicode MS"/>
          <w:b/>
          <w:lang w:val="pt-PT"/>
        </w:rPr>
        <w:t>5</w:t>
      </w:r>
    </w:p>
    <w:p w14:paraId="50348D32" w14:textId="5E947555" w:rsidR="0017623A" w:rsidRPr="002505B5" w:rsidRDefault="00D01F98" w:rsidP="00BE7063">
      <w:pPr>
        <w:tabs>
          <w:tab w:val="left" w:pos="360"/>
        </w:tabs>
        <w:spacing w:line="360" w:lineRule="auto"/>
        <w:ind w:left="180"/>
        <w:jc w:val="center"/>
        <w:rPr>
          <w:rFonts w:eastAsia="Arial Unicode MS"/>
          <w:b/>
          <w:lang w:val="pt-PT"/>
        </w:rPr>
      </w:pPr>
      <w:r>
        <w:rPr>
          <w:rFonts w:eastAsia="Arial Unicode MS"/>
          <w:b/>
          <w:lang w:val="pt-PT"/>
        </w:rPr>
        <w:t>Dever</w:t>
      </w:r>
      <w:r w:rsidRPr="002505B5">
        <w:rPr>
          <w:rFonts w:eastAsia="Arial Unicode MS"/>
          <w:b/>
          <w:lang w:val="pt-PT"/>
        </w:rPr>
        <w:t xml:space="preserve"> </w:t>
      </w:r>
      <w:r w:rsidR="0017623A" w:rsidRPr="002505B5">
        <w:rPr>
          <w:rFonts w:eastAsia="Arial Unicode MS"/>
          <w:b/>
          <w:lang w:val="pt-PT"/>
        </w:rPr>
        <w:t>de informação ao Banco de Moçambique</w:t>
      </w:r>
    </w:p>
    <w:p w14:paraId="225D5041" w14:textId="76C176CD" w:rsidR="00C939F3" w:rsidRPr="00E43CA5" w:rsidRDefault="00C939F3" w:rsidP="00BE7063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2" w:hanging="284"/>
        <w:jc w:val="both"/>
        <w:rPr>
          <w:rFonts w:eastAsia="Arial Unicode MS"/>
          <w:bCs/>
          <w:lang w:val="pt-PT"/>
        </w:rPr>
      </w:pPr>
      <w:r w:rsidRPr="00E43CA5">
        <w:rPr>
          <w:rFonts w:eastAsia="Arial Unicode MS"/>
          <w:bCs/>
          <w:lang w:val="pt-PT"/>
        </w:rPr>
        <w:t xml:space="preserve">A </w:t>
      </w:r>
      <w:r w:rsidR="00D54E9F">
        <w:rPr>
          <w:rFonts w:eastAsia="Arial Unicode MS"/>
          <w:bCs/>
          <w:lang w:val="pt-PT"/>
        </w:rPr>
        <w:t>BVM</w:t>
      </w:r>
      <w:r w:rsidRPr="00E43CA5">
        <w:rPr>
          <w:rFonts w:eastAsia="Arial Unicode MS"/>
          <w:bCs/>
          <w:lang w:val="pt-PT"/>
        </w:rPr>
        <w:t xml:space="preserve"> deve submeter ao Banco de Moçambique, até ao dia 1</w:t>
      </w:r>
      <w:r w:rsidR="00D54E9F">
        <w:rPr>
          <w:rFonts w:eastAsia="Arial Unicode MS"/>
          <w:bCs/>
          <w:lang w:val="pt-PT"/>
        </w:rPr>
        <w:t>5</w:t>
      </w:r>
      <w:r w:rsidRPr="00E43CA5">
        <w:rPr>
          <w:rFonts w:eastAsia="Arial Unicode MS"/>
          <w:bCs/>
          <w:lang w:val="pt-PT"/>
        </w:rPr>
        <w:t xml:space="preserve"> de cada mês, um relatório sobre todos os incidentes que propiciaram à materialização de riscos que afectaram a actividade de intermediação financeira e as respectivas medidas de mitigação adoptadas.</w:t>
      </w:r>
    </w:p>
    <w:p w14:paraId="39EF6FC5" w14:textId="49CEF9AF" w:rsidR="00D54E9F" w:rsidRDefault="00D54E9F" w:rsidP="00D54E9F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2" w:hanging="284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Incumbe ainda a BVM a submissão da seguinte informação:</w:t>
      </w:r>
    </w:p>
    <w:p w14:paraId="09781968" w14:textId="39EE3D35" w:rsidR="00D54E9F" w:rsidRPr="00A4570F" w:rsidRDefault="00D54E9F" w:rsidP="00D54E9F">
      <w:pPr>
        <w:pStyle w:val="ListParagraph"/>
        <w:numPr>
          <w:ilvl w:val="0"/>
          <w:numId w:val="39"/>
        </w:numPr>
        <w:tabs>
          <w:tab w:val="left" w:pos="360"/>
          <w:tab w:val="left" w:pos="567"/>
        </w:tabs>
        <w:spacing w:line="360" w:lineRule="auto"/>
        <w:ind w:left="142" w:firstLine="0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Relatório de desempenho do mercado;</w:t>
      </w:r>
    </w:p>
    <w:p w14:paraId="5F736766" w14:textId="14E8B737" w:rsidR="00D54E9F" w:rsidRPr="00A4570F" w:rsidRDefault="00D54E9F" w:rsidP="00D54E9F">
      <w:pPr>
        <w:pStyle w:val="ListParagraph"/>
        <w:numPr>
          <w:ilvl w:val="0"/>
          <w:numId w:val="39"/>
        </w:numPr>
        <w:tabs>
          <w:tab w:val="left" w:pos="360"/>
          <w:tab w:val="left" w:pos="567"/>
        </w:tabs>
        <w:spacing w:line="360" w:lineRule="auto"/>
        <w:ind w:left="142" w:firstLine="0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 xml:space="preserve">Atraso na abertura da bolsa;​ </w:t>
      </w:r>
    </w:p>
    <w:p w14:paraId="69528BDE" w14:textId="54B4E55E" w:rsidR="00D54E9F" w:rsidRPr="00A4570F" w:rsidRDefault="00D54E9F" w:rsidP="00D54E9F">
      <w:pPr>
        <w:pStyle w:val="ListParagraph"/>
        <w:numPr>
          <w:ilvl w:val="0"/>
          <w:numId w:val="39"/>
        </w:numPr>
        <w:tabs>
          <w:tab w:val="left" w:pos="360"/>
          <w:tab w:val="left" w:pos="567"/>
        </w:tabs>
        <w:spacing w:line="360" w:lineRule="auto"/>
        <w:ind w:left="142" w:firstLine="0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Suspensão de negociação de qualquer valor mobiliário;​</w:t>
      </w:r>
    </w:p>
    <w:p w14:paraId="1ECCBF5B" w14:textId="512FEC38" w:rsidR="00D54E9F" w:rsidRPr="00A4570F" w:rsidRDefault="00D54E9F" w:rsidP="00D54E9F">
      <w:pPr>
        <w:pStyle w:val="ListParagraph"/>
        <w:numPr>
          <w:ilvl w:val="0"/>
          <w:numId w:val="39"/>
        </w:numPr>
        <w:tabs>
          <w:tab w:val="left" w:pos="360"/>
          <w:tab w:val="left" w:pos="567"/>
        </w:tabs>
        <w:spacing w:line="360" w:lineRule="auto"/>
        <w:ind w:left="142" w:firstLine="0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Actividades incomuns no mercado;​</w:t>
      </w:r>
    </w:p>
    <w:p w14:paraId="13390AD1" w14:textId="133860B2" w:rsidR="00D54E9F" w:rsidRPr="00A4570F" w:rsidRDefault="00D54E9F" w:rsidP="00D54E9F">
      <w:pPr>
        <w:pStyle w:val="ListParagraph"/>
        <w:numPr>
          <w:ilvl w:val="0"/>
          <w:numId w:val="39"/>
        </w:numPr>
        <w:tabs>
          <w:tab w:val="left" w:pos="360"/>
          <w:tab w:val="left" w:pos="567"/>
        </w:tabs>
        <w:spacing w:line="360" w:lineRule="auto"/>
        <w:ind w:left="142" w:firstLine="0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Recebimento de informações não públicas que possam ter um efeito material no mercado ou em qualquer título específico;​</w:t>
      </w:r>
    </w:p>
    <w:p w14:paraId="617311FC" w14:textId="2C1410D5" w:rsidR="00D54E9F" w:rsidRPr="00D54E9F" w:rsidRDefault="00FB2D63" w:rsidP="00D54E9F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2" w:hanging="284"/>
        <w:jc w:val="both"/>
        <w:rPr>
          <w:rFonts w:eastAsia="Arial Unicode MS"/>
          <w:bCs/>
          <w:lang w:val="pt-PT"/>
        </w:rPr>
      </w:pPr>
      <w:r w:rsidRPr="00E43CA5">
        <w:rPr>
          <w:rFonts w:eastAsia="Arial Unicode MS"/>
          <w:bCs/>
          <w:lang w:val="pt-PT"/>
        </w:rPr>
        <w:t xml:space="preserve">A </w:t>
      </w:r>
      <w:r w:rsidR="00D54E9F">
        <w:rPr>
          <w:rFonts w:eastAsia="Arial Unicode MS"/>
          <w:bCs/>
          <w:lang w:val="pt-PT"/>
        </w:rPr>
        <w:t>BVM</w:t>
      </w:r>
      <w:r w:rsidR="009A56BF" w:rsidRPr="00E43CA5">
        <w:rPr>
          <w:rFonts w:eastAsia="Arial Unicode MS"/>
          <w:bCs/>
          <w:lang w:val="pt-PT"/>
        </w:rPr>
        <w:t xml:space="preserve"> </w:t>
      </w:r>
      <w:r w:rsidRPr="00E43CA5">
        <w:rPr>
          <w:rFonts w:eastAsia="Arial Unicode MS"/>
          <w:bCs/>
          <w:lang w:val="pt-PT"/>
        </w:rPr>
        <w:t xml:space="preserve">deve submeter ao Banco de Moçambique, até </w:t>
      </w:r>
      <w:r w:rsidR="00154E33" w:rsidRPr="00E43CA5">
        <w:rPr>
          <w:rFonts w:eastAsia="Arial Unicode MS"/>
          <w:bCs/>
          <w:lang w:val="pt-PT"/>
        </w:rPr>
        <w:t xml:space="preserve">ao </w:t>
      </w:r>
      <w:r w:rsidR="00D54E9F">
        <w:rPr>
          <w:rFonts w:eastAsia="Arial Unicode MS"/>
          <w:bCs/>
          <w:lang w:val="pt-PT"/>
        </w:rPr>
        <w:t>último dia do mês de Maio</w:t>
      </w:r>
      <w:r w:rsidRPr="00E43CA5">
        <w:rPr>
          <w:rFonts w:eastAsia="Arial Unicode MS"/>
          <w:bCs/>
          <w:lang w:val="pt-PT"/>
        </w:rPr>
        <w:t>,</w:t>
      </w:r>
      <w:r w:rsidR="00154E33" w:rsidRPr="00E43CA5">
        <w:rPr>
          <w:rFonts w:eastAsia="Arial Unicode MS"/>
          <w:bCs/>
          <w:lang w:val="pt-PT"/>
        </w:rPr>
        <w:t xml:space="preserve"> o</w:t>
      </w:r>
      <w:r w:rsidRPr="00E43CA5">
        <w:rPr>
          <w:rFonts w:eastAsia="Arial Unicode MS"/>
          <w:bCs/>
          <w:lang w:val="pt-PT"/>
        </w:rPr>
        <w:t xml:space="preserve"> relatório sobre as actividades e administração da </w:t>
      </w:r>
      <w:r w:rsidR="00BB514A" w:rsidRPr="00E43CA5">
        <w:rPr>
          <w:rFonts w:eastAsia="Arial Unicode MS"/>
          <w:bCs/>
          <w:lang w:val="pt-PT"/>
        </w:rPr>
        <w:t>B</w:t>
      </w:r>
      <w:r w:rsidR="00D54E9F">
        <w:rPr>
          <w:rFonts w:eastAsia="Arial Unicode MS"/>
          <w:bCs/>
          <w:lang w:val="pt-PT"/>
        </w:rPr>
        <w:t>VM</w:t>
      </w:r>
      <w:r w:rsidRPr="00E43CA5">
        <w:rPr>
          <w:rFonts w:eastAsia="Arial Unicode MS"/>
          <w:bCs/>
          <w:lang w:val="pt-PT"/>
        </w:rPr>
        <w:t xml:space="preserve"> durante o ano imediatamente anterior</w:t>
      </w:r>
      <w:r w:rsidR="00BB514A" w:rsidRPr="00E43CA5">
        <w:rPr>
          <w:rFonts w:eastAsia="Arial Unicode MS"/>
          <w:bCs/>
          <w:lang w:val="pt-PT"/>
        </w:rPr>
        <w:t>.</w:t>
      </w:r>
    </w:p>
    <w:p w14:paraId="1AA70308" w14:textId="358283E0" w:rsidR="00A4570F" w:rsidRDefault="00BB514A" w:rsidP="00A4570F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2" w:hanging="284"/>
        <w:jc w:val="both"/>
        <w:rPr>
          <w:rFonts w:eastAsia="Arial Unicode MS"/>
          <w:bCs/>
          <w:lang w:val="pt-PT"/>
        </w:rPr>
      </w:pPr>
      <w:r w:rsidRPr="00E43CA5">
        <w:rPr>
          <w:rFonts w:eastAsia="Arial Unicode MS"/>
          <w:bCs/>
          <w:lang w:val="pt-PT"/>
        </w:rPr>
        <w:lastRenderedPageBreak/>
        <w:t>O relatório</w:t>
      </w:r>
      <w:r w:rsidR="004D2D93" w:rsidRPr="00E43CA5">
        <w:rPr>
          <w:rFonts w:eastAsia="Arial Unicode MS"/>
          <w:bCs/>
          <w:lang w:val="pt-PT"/>
        </w:rPr>
        <w:t xml:space="preserve"> referido no número anterior</w:t>
      </w:r>
      <w:r w:rsidRPr="00E43CA5">
        <w:rPr>
          <w:rFonts w:eastAsia="Arial Unicode MS"/>
          <w:bCs/>
          <w:lang w:val="pt-PT"/>
        </w:rPr>
        <w:t xml:space="preserve"> deve </w:t>
      </w:r>
      <w:r w:rsidR="00FB2D63" w:rsidRPr="00E43CA5">
        <w:rPr>
          <w:rFonts w:eastAsia="Arial Unicode MS"/>
          <w:bCs/>
          <w:lang w:val="pt-PT"/>
        </w:rPr>
        <w:t xml:space="preserve">incluir contas auditadas e o relatório do </w:t>
      </w:r>
      <w:r w:rsidR="00BE7063" w:rsidRPr="00E43CA5">
        <w:rPr>
          <w:rFonts w:eastAsia="Arial Unicode MS"/>
          <w:bCs/>
          <w:lang w:val="pt-PT"/>
        </w:rPr>
        <w:t xml:space="preserve">auditor </w:t>
      </w:r>
      <w:r w:rsidR="00FB2D63" w:rsidRPr="00E43CA5">
        <w:rPr>
          <w:rFonts w:eastAsia="Arial Unicode MS"/>
          <w:bCs/>
          <w:lang w:val="pt-PT"/>
        </w:rPr>
        <w:t>sobre as contas.</w:t>
      </w:r>
    </w:p>
    <w:p w14:paraId="7CCEDBB4" w14:textId="77777777" w:rsidR="00A4570F" w:rsidRDefault="00A4570F" w:rsidP="00A4570F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ind w:left="142" w:hanging="284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A BVM deve disponibilizar ao Banco de Moçambique, até ao dia 15 do mês a que se reporta, informação sobre:</w:t>
      </w:r>
    </w:p>
    <w:p w14:paraId="3DAC76EA" w14:textId="77777777" w:rsidR="00A4570F" w:rsidRP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Relatório de desempenho do mercado;</w:t>
      </w:r>
    </w:p>
    <w:p w14:paraId="36662F17" w14:textId="77777777" w:rsid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 xml:space="preserve">Atraso na abertura da bolsa;​ </w:t>
      </w:r>
    </w:p>
    <w:p w14:paraId="6B15114A" w14:textId="77777777" w:rsid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Suspensão de negociação de quaisquer valores mobiliários;​</w:t>
      </w:r>
    </w:p>
    <w:p w14:paraId="67E63795" w14:textId="77777777" w:rsid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Actividades incomuns no mercado;​</w:t>
      </w:r>
    </w:p>
    <w:p w14:paraId="7607B914" w14:textId="0956F449" w:rsidR="00A4570F" w:rsidRP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Recebimento de informações não públicas que possam ter um efeito material no mercado ou em qualquer título específico; e</w:t>
      </w:r>
    </w:p>
    <w:p w14:paraId="173A543E" w14:textId="7025D275" w:rsidR="00A4570F" w:rsidRPr="00A4570F" w:rsidRDefault="00A4570F" w:rsidP="00A4570F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A4570F">
        <w:rPr>
          <w:rFonts w:eastAsia="Arial Unicode MS"/>
          <w:bCs/>
          <w:lang w:val="pt-PT"/>
        </w:rPr>
        <w:t>Outras informações relevantes sobre o funcionamento do mercado.</w:t>
      </w:r>
    </w:p>
    <w:p w14:paraId="62DADFC7" w14:textId="77777777" w:rsidR="00AD02F9" w:rsidRDefault="00AD02F9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</w:p>
    <w:p w14:paraId="37E8A9DC" w14:textId="6C390753" w:rsidR="00E14E7D" w:rsidRPr="002505B5" w:rsidRDefault="00E14E7D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CAPÍTULO </w:t>
      </w:r>
      <w:r w:rsidR="00C939F3">
        <w:rPr>
          <w:rFonts w:eastAsia="Arial Unicode MS"/>
          <w:b/>
          <w:lang w:val="pt-PT"/>
        </w:rPr>
        <w:t>III</w:t>
      </w:r>
    </w:p>
    <w:p w14:paraId="58E2414F" w14:textId="07A96D59" w:rsidR="00E14E7D" w:rsidRPr="002505B5" w:rsidRDefault="00E14E7D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GOVERNAÇÃO, CONFLITO DE INTERESSE E </w:t>
      </w:r>
      <w:r w:rsidR="00C939F3">
        <w:rPr>
          <w:rFonts w:eastAsia="Arial Unicode MS"/>
          <w:b/>
          <w:lang w:val="pt-PT"/>
        </w:rPr>
        <w:t>GESTÃO DE RISCO</w:t>
      </w:r>
    </w:p>
    <w:p w14:paraId="00833870" w14:textId="77777777" w:rsidR="00E14E7D" w:rsidRPr="002505B5" w:rsidRDefault="00E14E7D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Cs/>
          <w:lang w:val="pt-PT"/>
        </w:rPr>
      </w:pPr>
    </w:p>
    <w:p w14:paraId="6179A47E" w14:textId="72BC6A80" w:rsidR="00E14E7D" w:rsidRPr="002505B5" w:rsidRDefault="00E14E7D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Artigo </w:t>
      </w:r>
      <w:r w:rsidR="00AD02F9">
        <w:rPr>
          <w:rFonts w:eastAsia="Arial Unicode MS"/>
          <w:b/>
          <w:lang w:val="pt-PT"/>
        </w:rPr>
        <w:t>6</w:t>
      </w:r>
    </w:p>
    <w:p w14:paraId="648E2DF4" w14:textId="0F83DA83" w:rsidR="00E14E7D" w:rsidRPr="002505B5" w:rsidRDefault="00E14E7D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Governação Corporativa</w:t>
      </w:r>
    </w:p>
    <w:p w14:paraId="4C143C74" w14:textId="527726F6" w:rsidR="00714576" w:rsidRDefault="00714576" w:rsidP="00BE7063">
      <w:pPr>
        <w:pStyle w:val="ListParagraph"/>
        <w:numPr>
          <w:ilvl w:val="0"/>
          <w:numId w:val="20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E43CA5">
        <w:rPr>
          <w:rFonts w:eastAsia="Arial Unicode MS"/>
          <w:bCs/>
          <w:lang w:val="pt-PT"/>
        </w:rPr>
        <w:t xml:space="preserve">A </w:t>
      </w:r>
      <w:r w:rsidR="00D54E9F">
        <w:rPr>
          <w:rFonts w:eastAsia="Arial Unicode MS"/>
          <w:bCs/>
          <w:lang w:val="pt-PT"/>
        </w:rPr>
        <w:t>BVM</w:t>
      </w:r>
      <w:r w:rsidR="009A56BF" w:rsidRPr="00E43CA5">
        <w:rPr>
          <w:rFonts w:eastAsia="Arial Unicode MS"/>
          <w:bCs/>
          <w:lang w:val="pt-PT"/>
        </w:rPr>
        <w:t xml:space="preserve"> </w:t>
      </w:r>
      <w:r w:rsidRPr="00E43CA5">
        <w:rPr>
          <w:rFonts w:eastAsia="Arial Unicode MS"/>
          <w:bCs/>
          <w:lang w:val="pt-PT"/>
        </w:rPr>
        <w:t xml:space="preserve">deve fornecer </w:t>
      </w:r>
      <w:r w:rsidR="00A4570F">
        <w:rPr>
          <w:rFonts w:eastAsia="Arial Unicode MS"/>
          <w:bCs/>
          <w:lang w:val="pt-PT"/>
        </w:rPr>
        <w:t>ao Banco de Moçambique</w:t>
      </w:r>
      <w:r w:rsidR="00A4570F" w:rsidRPr="00A4570F">
        <w:rPr>
          <w:rStyle w:val="CommentReference"/>
          <w:lang w:val="pt-PT"/>
        </w:rPr>
        <w:t xml:space="preserve">, </w:t>
      </w:r>
      <w:r w:rsidRPr="00E43CA5">
        <w:rPr>
          <w:rFonts w:eastAsia="Arial Unicode MS"/>
          <w:bCs/>
          <w:lang w:val="pt-PT"/>
        </w:rPr>
        <w:t>nformações</w:t>
      </w:r>
      <w:r w:rsidR="00A4570F">
        <w:rPr>
          <w:rFonts w:eastAsia="Arial Unicode MS"/>
          <w:bCs/>
          <w:lang w:val="pt-PT"/>
        </w:rPr>
        <w:t xml:space="preserve"> </w:t>
      </w:r>
      <w:r w:rsidRPr="00E43CA5">
        <w:rPr>
          <w:rFonts w:eastAsia="Arial Unicode MS"/>
          <w:bCs/>
          <w:lang w:val="pt-PT"/>
        </w:rPr>
        <w:t>claras e concisas sobre sua</w:t>
      </w:r>
      <w:r w:rsidR="00BE7063" w:rsidRPr="00E43CA5">
        <w:rPr>
          <w:rFonts w:eastAsia="Arial Unicode MS"/>
          <w:bCs/>
          <w:lang w:val="pt-PT"/>
        </w:rPr>
        <w:t xml:space="preserve"> estrutura de governação</w:t>
      </w:r>
      <w:r w:rsidRPr="00E43CA5">
        <w:rPr>
          <w:rFonts w:eastAsia="Arial Unicode MS"/>
          <w:bCs/>
          <w:lang w:val="pt-PT"/>
        </w:rPr>
        <w:t>.</w:t>
      </w:r>
    </w:p>
    <w:p w14:paraId="791EDAF1" w14:textId="6D6F8FD8" w:rsidR="00A4570F" w:rsidRPr="00E43CA5" w:rsidRDefault="00A4570F" w:rsidP="00BE7063">
      <w:pPr>
        <w:pStyle w:val="ListParagraph"/>
        <w:numPr>
          <w:ilvl w:val="0"/>
          <w:numId w:val="20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A BVM deve submeter ao Banco de Moçambique, os pedidos de registo especial dos membros dos órgãos sociais, que ficam sujeitos aos critérios de idoneidade, qualificação profissional, independência e disponibilidade nos termos aplicáveis aos membros dos órgãos das instituições de crédito e sociedades financeiras.</w:t>
      </w:r>
    </w:p>
    <w:p w14:paraId="6E6E8E26" w14:textId="3C09ECC6" w:rsidR="00E14E7D" w:rsidRDefault="00E14E7D" w:rsidP="00BE7063">
      <w:pPr>
        <w:pStyle w:val="ListParagraph"/>
        <w:numPr>
          <w:ilvl w:val="0"/>
          <w:numId w:val="20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2505B5">
        <w:rPr>
          <w:rFonts w:eastAsia="Arial Unicode MS"/>
          <w:bCs/>
          <w:lang w:val="pt-PT"/>
        </w:rPr>
        <w:t xml:space="preserve">A </w:t>
      </w:r>
      <w:r w:rsidR="00D54E9F">
        <w:rPr>
          <w:rFonts w:eastAsia="Arial Unicode MS"/>
          <w:bCs/>
          <w:lang w:val="pt-PT"/>
        </w:rPr>
        <w:t>BVM</w:t>
      </w:r>
      <w:r w:rsidR="009A56BF" w:rsidRPr="002505B5">
        <w:rPr>
          <w:rFonts w:eastAsia="Arial Unicode MS"/>
          <w:bCs/>
          <w:lang w:val="pt-PT"/>
        </w:rPr>
        <w:t xml:space="preserve"> </w:t>
      </w:r>
      <w:r w:rsidRPr="002505B5">
        <w:rPr>
          <w:rFonts w:eastAsia="Arial Unicode MS"/>
          <w:bCs/>
          <w:lang w:val="pt-PT"/>
        </w:rPr>
        <w:t>deve transmit</w:t>
      </w:r>
      <w:r w:rsidR="00BE7063">
        <w:rPr>
          <w:rFonts w:eastAsia="Arial Unicode MS"/>
          <w:bCs/>
          <w:lang w:val="pt-PT"/>
        </w:rPr>
        <w:t>ir,</w:t>
      </w:r>
      <w:r w:rsidRPr="002505B5">
        <w:rPr>
          <w:rFonts w:eastAsia="Arial Unicode MS"/>
          <w:bCs/>
          <w:lang w:val="pt-PT"/>
        </w:rPr>
        <w:t xml:space="preserve"> aos </w:t>
      </w:r>
      <w:r w:rsidR="00BE7063">
        <w:rPr>
          <w:rFonts w:eastAsia="Arial Unicode MS"/>
          <w:bCs/>
          <w:lang w:val="pt-PT"/>
        </w:rPr>
        <w:t>intermediários financeiros</w:t>
      </w:r>
      <w:r w:rsidR="00BE7063" w:rsidRPr="002505B5">
        <w:rPr>
          <w:rFonts w:eastAsia="Arial Unicode MS"/>
          <w:bCs/>
          <w:lang w:val="pt-PT"/>
        </w:rPr>
        <w:t xml:space="preserve"> </w:t>
      </w:r>
      <w:r w:rsidRPr="002505B5">
        <w:rPr>
          <w:rFonts w:eastAsia="Arial Unicode MS"/>
          <w:bCs/>
          <w:lang w:val="pt-PT"/>
        </w:rPr>
        <w:t>e ao público</w:t>
      </w:r>
      <w:r w:rsidR="00BE7063">
        <w:rPr>
          <w:rFonts w:eastAsia="Arial Unicode MS"/>
          <w:bCs/>
          <w:lang w:val="pt-PT"/>
        </w:rPr>
        <w:t xml:space="preserve">, </w:t>
      </w:r>
      <w:r w:rsidR="00BE7063" w:rsidRPr="002505B5">
        <w:rPr>
          <w:rFonts w:eastAsia="Arial Unicode MS"/>
          <w:bCs/>
          <w:lang w:val="pt-PT"/>
        </w:rPr>
        <w:t xml:space="preserve">informação </w:t>
      </w:r>
      <w:r w:rsidR="00AD02F9">
        <w:rPr>
          <w:rFonts w:eastAsia="Arial Unicode MS"/>
          <w:bCs/>
          <w:lang w:val="pt-PT"/>
        </w:rPr>
        <w:t>necessária</w:t>
      </w:r>
      <w:r w:rsidRPr="002505B5">
        <w:rPr>
          <w:rFonts w:eastAsia="Arial Unicode MS"/>
          <w:bCs/>
          <w:lang w:val="pt-PT"/>
        </w:rPr>
        <w:t xml:space="preserve"> sobre os riscos e custos incorridos pela participação no mercado secundário centralizado de valores mobiliários.</w:t>
      </w:r>
    </w:p>
    <w:p w14:paraId="424CCB70" w14:textId="7E0A8C69" w:rsidR="00A4570F" w:rsidRPr="002505B5" w:rsidRDefault="00A4570F" w:rsidP="00BE7063">
      <w:pPr>
        <w:pStyle w:val="ListParagraph"/>
        <w:numPr>
          <w:ilvl w:val="0"/>
          <w:numId w:val="20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Para efeitos do n.º 2, o Banco de Moçambique define, por Circular, os elementos que devem acompanhar o pedido de registo.</w:t>
      </w:r>
    </w:p>
    <w:p w14:paraId="4006AFF5" w14:textId="77777777" w:rsidR="002505B5" w:rsidRDefault="002505B5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</w:p>
    <w:p w14:paraId="6185E62D" w14:textId="07C4EB02" w:rsidR="002E3F9A" w:rsidRPr="002505B5" w:rsidRDefault="002E3F9A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Artigo </w:t>
      </w:r>
      <w:r w:rsidR="00AD02F9">
        <w:rPr>
          <w:rFonts w:eastAsia="Arial Unicode MS"/>
          <w:b/>
          <w:lang w:val="pt-PT"/>
        </w:rPr>
        <w:t>7</w:t>
      </w:r>
    </w:p>
    <w:p w14:paraId="691DB2EF" w14:textId="52448F76" w:rsidR="002E3F9A" w:rsidRPr="002505B5" w:rsidRDefault="002E3F9A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Conflito</w:t>
      </w:r>
      <w:r w:rsidR="00BE7063">
        <w:rPr>
          <w:rFonts w:eastAsia="Arial Unicode MS"/>
          <w:b/>
          <w:lang w:val="pt-PT"/>
        </w:rPr>
        <w:t>s</w:t>
      </w:r>
      <w:r w:rsidRPr="002505B5">
        <w:rPr>
          <w:rFonts w:eastAsia="Arial Unicode MS"/>
          <w:b/>
          <w:lang w:val="pt-PT"/>
        </w:rPr>
        <w:t xml:space="preserve"> de interesse</w:t>
      </w:r>
    </w:p>
    <w:p w14:paraId="61E296C3" w14:textId="0E5C7F76" w:rsidR="002E3F9A" w:rsidRPr="002505B5" w:rsidRDefault="00FD2847" w:rsidP="00BE7063">
      <w:pPr>
        <w:numPr>
          <w:ilvl w:val="0"/>
          <w:numId w:val="22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2505B5">
        <w:rPr>
          <w:rFonts w:eastAsia="Arial Unicode MS"/>
          <w:bCs/>
          <w:lang w:val="pt-PT"/>
        </w:rPr>
        <w:t xml:space="preserve">A </w:t>
      </w:r>
      <w:r w:rsidR="00D54E9F">
        <w:rPr>
          <w:rFonts w:eastAsia="Arial Unicode MS"/>
          <w:bCs/>
          <w:lang w:val="pt-PT"/>
        </w:rPr>
        <w:t>BVM</w:t>
      </w:r>
      <w:r w:rsidR="009A56BF" w:rsidRPr="002505B5">
        <w:rPr>
          <w:rFonts w:eastAsia="Arial Unicode MS"/>
          <w:bCs/>
          <w:lang w:val="pt-PT"/>
        </w:rPr>
        <w:t xml:space="preserve"> </w:t>
      </w:r>
      <w:r w:rsidR="002E3F9A" w:rsidRPr="002505B5">
        <w:rPr>
          <w:rFonts w:eastAsia="Arial Unicode MS"/>
          <w:bCs/>
          <w:lang w:val="pt-PT"/>
        </w:rPr>
        <w:t xml:space="preserve">deve identificar conflitos de interesse reais e potenciais que possam comprometer ou ser percebidos como comprometendo o julgamento ético ou profissional dos </w:t>
      </w:r>
      <w:r w:rsidR="001D4CC2" w:rsidRPr="002505B5">
        <w:rPr>
          <w:rFonts w:eastAsia="Arial Unicode MS"/>
          <w:bCs/>
          <w:lang w:val="pt-PT"/>
        </w:rPr>
        <w:t>intermediários financeiros</w:t>
      </w:r>
      <w:r w:rsidR="002E3F9A" w:rsidRPr="002505B5">
        <w:rPr>
          <w:rFonts w:eastAsia="Arial Unicode MS"/>
          <w:bCs/>
          <w:lang w:val="pt-PT"/>
        </w:rPr>
        <w:t>.</w:t>
      </w:r>
    </w:p>
    <w:p w14:paraId="1130C4BE" w14:textId="4752549D" w:rsidR="002E3F9A" w:rsidRPr="002505B5" w:rsidRDefault="001D4CC2" w:rsidP="00BE7063">
      <w:pPr>
        <w:numPr>
          <w:ilvl w:val="0"/>
          <w:numId w:val="22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 w:rsidRPr="002505B5">
        <w:rPr>
          <w:rFonts w:eastAsia="Arial Unicode MS"/>
          <w:bCs/>
          <w:lang w:val="pt-PT"/>
        </w:rPr>
        <w:lastRenderedPageBreak/>
        <w:t xml:space="preserve">A </w:t>
      </w:r>
      <w:r w:rsidR="009A56BF" w:rsidRPr="002505B5">
        <w:rPr>
          <w:rFonts w:eastAsia="Arial Unicode MS"/>
          <w:bCs/>
          <w:lang w:val="pt-PT"/>
        </w:rPr>
        <w:t>B</w:t>
      </w:r>
      <w:r w:rsidR="00D54E9F">
        <w:rPr>
          <w:rFonts w:eastAsia="Arial Unicode MS"/>
          <w:bCs/>
          <w:lang w:val="pt-PT"/>
        </w:rPr>
        <w:t>VM</w:t>
      </w:r>
      <w:r w:rsidR="009A56BF" w:rsidRPr="002505B5">
        <w:rPr>
          <w:rFonts w:eastAsia="Arial Unicode MS"/>
          <w:bCs/>
          <w:lang w:val="pt-PT"/>
        </w:rPr>
        <w:t xml:space="preserve"> </w:t>
      </w:r>
      <w:r w:rsidR="002E3F9A" w:rsidRPr="002505B5">
        <w:rPr>
          <w:rFonts w:eastAsia="Arial Unicode MS"/>
          <w:bCs/>
          <w:lang w:val="pt-PT"/>
        </w:rPr>
        <w:t xml:space="preserve">deve </w:t>
      </w:r>
      <w:r w:rsidR="00DB4CC1" w:rsidRPr="002505B5">
        <w:rPr>
          <w:rFonts w:eastAsia="Arial Unicode MS"/>
          <w:bCs/>
          <w:lang w:val="pt-PT"/>
        </w:rPr>
        <w:t>estabelecer e disseminar</w:t>
      </w:r>
      <w:r w:rsidR="002E3F9A" w:rsidRPr="002505B5">
        <w:rPr>
          <w:rFonts w:eastAsia="Arial Unicode MS"/>
          <w:bCs/>
          <w:lang w:val="pt-PT"/>
        </w:rPr>
        <w:t xml:space="preserve"> políticas </w:t>
      </w:r>
      <w:r w:rsidR="00DB4CC1" w:rsidRPr="002505B5">
        <w:rPr>
          <w:rFonts w:eastAsia="Arial Unicode MS"/>
          <w:bCs/>
          <w:lang w:val="pt-PT"/>
        </w:rPr>
        <w:t>e controlos i</w:t>
      </w:r>
      <w:r w:rsidR="002E3F9A" w:rsidRPr="002505B5">
        <w:rPr>
          <w:rFonts w:eastAsia="Arial Unicode MS"/>
          <w:bCs/>
          <w:lang w:val="pt-PT"/>
        </w:rPr>
        <w:t>ntern</w:t>
      </w:r>
      <w:r w:rsidR="00DB4CC1" w:rsidRPr="002505B5">
        <w:rPr>
          <w:rFonts w:eastAsia="Arial Unicode MS"/>
          <w:bCs/>
          <w:lang w:val="pt-PT"/>
        </w:rPr>
        <w:t>o</w:t>
      </w:r>
      <w:r w:rsidR="002E3F9A" w:rsidRPr="002505B5">
        <w:rPr>
          <w:rFonts w:eastAsia="Arial Unicode MS"/>
          <w:bCs/>
          <w:lang w:val="pt-PT"/>
        </w:rPr>
        <w:t xml:space="preserve">s para mitigar </w:t>
      </w:r>
      <w:r w:rsidR="00DB4CC1" w:rsidRPr="002505B5">
        <w:rPr>
          <w:rFonts w:eastAsia="Arial Unicode MS"/>
          <w:bCs/>
          <w:lang w:val="pt-PT"/>
        </w:rPr>
        <w:t xml:space="preserve">e gerir </w:t>
      </w:r>
      <w:r w:rsidR="002E3F9A" w:rsidRPr="002505B5">
        <w:rPr>
          <w:rFonts w:eastAsia="Arial Unicode MS"/>
          <w:bCs/>
          <w:lang w:val="pt-PT"/>
        </w:rPr>
        <w:t>os conflitos de interesse</w:t>
      </w:r>
      <w:r w:rsidR="00DB4CC1" w:rsidRPr="002505B5">
        <w:rPr>
          <w:rFonts w:eastAsia="Arial Unicode MS"/>
          <w:bCs/>
          <w:lang w:val="pt-PT"/>
        </w:rPr>
        <w:t xml:space="preserve"> no âmbito da intermediação financeira.</w:t>
      </w:r>
    </w:p>
    <w:p w14:paraId="0CC1E99A" w14:textId="22BFD11E" w:rsidR="00083E10" w:rsidRDefault="00BE7063" w:rsidP="00BE7063">
      <w:pPr>
        <w:numPr>
          <w:ilvl w:val="0"/>
          <w:numId w:val="22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Cs/>
          <w:lang w:val="pt-PT"/>
        </w:rPr>
      </w:pPr>
      <w:r>
        <w:rPr>
          <w:rFonts w:eastAsia="Arial Unicode MS"/>
          <w:bCs/>
          <w:lang w:val="pt-PT"/>
        </w:rPr>
        <w:t>No c</w:t>
      </w:r>
      <w:r w:rsidR="006D1084" w:rsidRPr="002505B5">
        <w:rPr>
          <w:rFonts w:eastAsia="Arial Unicode MS"/>
          <w:bCs/>
          <w:lang w:val="pt-PT"/>
        </w:rPr>
        <w:t xml:space="preserve">aso </w:t>
      </w:r>
      <w:r w:rsidR="00E43CA5">
        <w:rPr>
          <w:rFonts w:eastAsia="Arial Unicode MS"/>
          <w:bCs/>
          <w:lang w:val="pt-PT"/>
        </w:rPr>
        <w:t>d</w:t>
      </w:r>
      <w:r w:rsidR="00E43CA5" w:rsidRPr="002505B5">
        <w:rPr>
          <w:rFonts w:eastAsia="Arial Unicode MS"/>
          <w:bCs/>
          <w:lang w:val="pt-PT"/>
        </w:rPr>
        <w:t>e o</w:t>
      </w:r>
      <w:r w:rsidR="006D1084" w:rsidRPr="002505B5">
        <w:rPr>
          <w:rFonts w:eastAsia="Arial Unicode MS"/>
          <w:bCs/>
          <w:lang w:val="pt-PT"/>
        </w:rPr>
        <w:t xml:space="preserve"> membro do órgão</w:t>
      </w:r>
      <w:r>
        <w:rPr>
          <w:rFonts w:eastAsia="Arial Unicode MS"/>
          <w:bCs/>
          <w:lang w:val="pt-PT"/>
        </w:rPr>
        <w:t xml:space="preserve"> de administração </w:t>
      </w:r>
      <w:r w:rsidR="006D1084" w:rsidRPr="002505B5">
        <w:rPr>
          <w:rFonts w:eastAsia="Arial Unicode MS"/>
          <w:bCs/>
          <w:lang w:val="pt-PT"/>
        </w:rPr>
        <w:t xml:space="preserve">da </w:t>
      </w:r>
      <w:r w:rsidR="00D54E9F">
        <w:rPr>
          <w:rFonts w:eastAsia="Arial Unicode MS"/>
          <w:bCs/>
          <w:lang w:val="pt-PT"/>
        </w:rPr>
        <w:t>BVM</w:t>
      </w:r>
      <w:r w:rsidR="009A56BF" w:rsidRPr="002505B5">
        <w:rPr>
          <w:rFonts w:eastAsia="Arial Unicode MS"/>
          <w:bCs/>
          <w:lang w:val="pt-PT"/>
        </w:rPr>
        <w:t xml:space="preserve"> </w:t>
      </w:r>
      <w:r w:rsidRPr="002505B5">
        <w:rPr>
          <w:rFonts w:eastAsia="Arial Unicode MS"/>
          <w:bCs/>
          <w:lang w:val="pt-PT"/>
        </w:rPr>
        <w:t>est</w:t>
      </w:r>
      <w:r>
        <w:rPr>
          <w:rFonts w:eastAsia="Arial Unicode MS"/>
          <w:bCs/>
          <w:lang w:val="pt-PT"/>
        </w:rPr>
        <w:t>ar</w:t>
      </w:r>
      <w:r w:rsidRPr="002505B5">
        <w:rPr>
          <w:rFonts w:eastAsia="Arial Unicode MS"/>
          <w:bCs/>
          <w:lang w:val="pt-PT"/>
        </w:rPr>
        <w:t xml:space="preserve"> </w:t>
      </w:r>
      <w:r w:rsidR="006D1084" w:rsidRPr="002505B5">
        <w:rPr>
          <w:rFonts w:eastAsia="Arial Unicode MS"/>
          <w:bCs/>
          <w:lang w:val="pt-PT"/>
        </w:rPr>
        <w:t xml:space="preserve">directa ou indirectamente </w:t>
      </w:r>
      <w:r w:rsidR="00083E10" w:rsidRPr="002505B5">
        <w:rPr>
          <w:rFonts w:eastAsia="Arial Unicode MS"/>
          <w:bCs/>
          <w:lang w:val="pt-PT"/>
        </w:rPr>
        <w:t xml:space="preserve">envolvido em qualquer contrato deve, após o seu conhecimento, divulgar a natureza do seu interesse para a </w:t>
      </w:r>
      <w:r w:rsidR="009A56BF" w:rsidRPr="002505B5">
        <w:rPr>
          <w:rFonts w:eastAsia="Arial Unicode MS"/>
          <w:bCs/>
          <w:lang w:val="pt-PT"/>
        </w:rPr>
        <w:t>B</w:t>
      </w:r>
      <w:r w:rsidR="00D54E9F">
        <w:rPr>
          <w:rFonts w:eastAsia="Arial Unicode MS"/>
          <w:bCs/>
          <w:lang w:val="pt-PT"/>
        </w:rPr>
        <w:t>VM</w:t>
      </w:r>
      <w:r w:rsidR="009A56BF" w:rsidRPr="002505B5">
        <w:rPr>
          <w:rFonts w:eastAsia="Arial Unicode MS"/>
          <w:bCs/>
          <w:lang w:val="pt-PT"/>
        </w:rPr>
        <w:t xml:space="preserve"> </w:t>
      </w:r>
      <w:r w:rsidR="00083E10" w:rsidRPr="002505B5">
        <w:rPr>
          <w:rFonts w:eastAsia="Arial Unicode MS"/>
          <w:bCs/>
          <w:lang w:val="pt-PT"/>
        </w:rPr>
        <w:t xml:space="preserve">na reunião do </w:t>
      </w:r>
      <w:r w:rsidR="002505B5">
        <w:rPr>
          <w:rFonts w:eastAsia="Arial Unicode MS"/>
          <w:bCs/>
          <w:lang w:val="pt-PT"/>
        </w:rPr>
        <w:t>órgão.</w:t>
      </w:r>
    </w:p>
    <w:p w14:paraId="1425A737" w14:textId="77777777" w:rsidR="00C939F3" w:rsidRPr="002505B5" w:rsidRDefault="00C939F3" w:rsidP="00BE7063">
      <w:p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b/>
          <w:bCs/>
          <w:i/>
          <w:iCs/>
          <w:lang w:val="pt-PT" w:eastAsia="en-US"/>
        </w:rPr>
      </w:pPr>
    </w:p>
    <w:p w14:paraId="038CB6C3" w14:textId="20F25FDE" w:rsidR="00C939F3" w:rsidRDefault="00C939F3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bCs/>
          <w:lang w:val="pt-PT"/>
        </w:rPr>
      </w:pPr>
      <w:r w:rsidRPr="002505B5">
        <w:rPr>
          <w:rFonts w:eastAsia="Arial Unicode MS"/>
          <w:b/>
          <w:bCs/>
          <w:lang w:val="pt-PT"/>
        </w:rPr>
        <w:t xml:space="preserve">Artigo </w:t>
      </w:r>
      <w:r w:rsidR="00AD02F9">
        <w:rPr>
          <w:rFonts w:eastAsia="Arial Unicode MS"/>
          <w:b/>
          <w:bCs/>
          <w:lang w:val="pt-PT"/>
        </w:rPr>
        <w:t>8</w:t>
      </w:r>
    </w:p>
    <w:p w14:paraId="536C85F6" w14:textId="019BFE8A" w:rsidR="00D54E9F" w:rsidRDefault="00A4570F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bCs/>
          <w:lang w:val="pt-PT"/>
        </w:rPr>
      </w:pPr>
      <w:r>
        <w:rPr>
          <w:rFonts w:eastAsia="Arial Unicode MS"/>
          <w:b/>
          <w:bCs/>
          <w:lang w:val="pt-PT"/>
        </w:rPr>
        <w:t>Mitigação de riscos</w:t>
      </w:r>
    </w:p>
    <w:p w14:paraId="245E433E" w14:textId="46EB3C81" w:rsidR="00D54E9F" w:rsidRPr="00D54E9F" w:rsidRDefault="00D54E9F" w:rsidP="00D54E9F">
      <w:pPr>
        <w:tabs>
          <w:tab w:val="left" w:pos="360"/>
          <w:tab w:val="left" w:pos="7513"/>
        </w:tabs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  <w:lang w:val="pt-PT"/>
        </w:rPr>
      </w:pPr>
      <w:r w:rsidRPr="00D54E9F">
        <w:rPr>
          <w:rStyle w:val="cf01"/>
          <w:rFonts w:ascii="Times New Roman" w:hAnsi="Times New Roman" w:cs="Times New Roman"/>
          <w:sz w:val="24"/>
          <w:szCs w:val="24"/>
          <w:lang w:val="pt-PT"/>
        </w:rPr>
        <w:t>A BVM deve avaliar e mitigar diversos tipos de riscos operacionais, financeiros, tecnológicos e regulamentares</w:t>
      </w:r>
      <w:r>
        <w:rPr>
          <w:rStyle w:val="cf01"/>
          <w:rFonts w:ascii="Times New Roman" w:hAnsi="Times New Roman" w:cs="Times New Roman"/>
          <w:sz w:val="24"/>
          <w:szCs w:val="24"/>
          <w:lang w:val="pt-PT"/>
        </w:rPr>
        <w:t>.</w:t>
      </w:r>
    </w:p>
    <w:p w14:paraId="277086DF" w14:textId="77777777" w:rsidR="00D54E9F" w:rsidRDefault="00D54E9F" w:rsidP="00BE7063">
      <w:pPr>
        <w:tabs>
          <w:tab w:val="left" w:pos="360"/>
          <w:tab w:val="left" w:pos="7513"/>
        </w:tabs>
        <w:spacing w:line="360" w:lineRule="auto"/>
        <w:jc w:val="center"/>
        <w:rPr>
          <w:rStyle w:val="cf01"/>
          <w:lang w:val="pt-PT"/>
        </w:rPr>
      </w:pPr>
    </w:p>
    <w:p w14:paraId="1D07E1FE" w14:textId="77777777" w:rsidR="00D54E9F" w:rsidRDefault="00D54E9F" w:rsidP="00BE7063">
      <w:pPr>
        <w:tabs>
          <w:tab w:val="left" w:pos="360"/>
          <w:tab w:val="left" w:pos="7513"/>
        </w:tabs>
        <w:spacing w:line="360" w:lineRule="auto"/>
        <w:jc w:val="center"/>
        <w:rPr>
          <w:rStyle w:val="cf01"/>
          <w:lang w:val="pt-PT"/>
        </w:rPr>
      </w:pPr>
    </w:p>
    <w:p w14:paraId="0032B757" w14:textId="3C7D8F88" w:rsidR="00D54E9F" w:rsidRPr="00D54E9F" w:rsidRDefault="00D54E9F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bCs/>
          <w:lang w:val="pt-PT"/>
        </w:rPr>
      </w:pPr>
      <w:r w:rsidRPr="00A4570F">
        <w:rPr>
          <w:rFonts w:eastAsia="Arial Unicode MS"/>
          <w:b/>
          <w:bCs/>
          <w:lang w:val="pt-PT"/>
        </w:rPr>
        <w:t>Artigo 9</w:t>
      </w:r>
    </w:p>
    <w:p w14:paraId="484BF8C8" w14:textId="77777777" w:rsidR="00C939F3" w:rsidRPr="00E43CA5" w:rsidRDefault="00C939F3" w:rsidP="00BE7063">
      <w:pPr>
        <w:tabs>
          <w:tab w:val="left" w:pos="360"/>
          <w:tab w:val="left" w:pos="7513"/>
        </w:tabs>
        <w:spacing w:line="360" w:lineRule="auto"/>
        <w:jc w:val="center"/>
        <w:rPr>
          <w:rFonts w:eastAsia="Arial Unicode MS"/>
          <w:b/>
          <w:bCs/>
          <w:lang w:val="pt-PT"/>
        </w:rPr>
      </w:pPr>
      <w:r w:rsidRPr="00E43CA5">
        <w:rPr>
          <w:rFonts w:eastAsia="Arial Unicode MS"/>
          <w:b/>
          <w:bCs/>
          <w:lang w:val="pt-PT"/>
        </w:rPr>
        <w:t>Gestão de risco ao nível da Central de Valores Mobiliários</w:t>
      </w:r>
    </w:p>
    <w:p w14:paraId="2593F55D" w14:textId="08797210" w:rsidR="00C939F3" w:rsidRPr="00E43CA5" w:rsidRDefault="00C939F3" w:rsidP="00BE7063">
      <w:pPr>
        <w:pStyle w:val="ListParagraph"/>
        <w:numPr>
          <w:ilvl w:val="0"/>
          <w:numId w:val="31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lang w:val="pt-PT"/>
        </w:rPr>
      </w:pPr>
      <w:r w:rsidRPr="00E43CA5">
        <w:rPr>
          <w:rFonts w:eastAsia="Arial Unicode MS"/>
          <w:lang w:val="pt-PT"/>
        </w:rPr>
        <w:t xml:space="preserve">A </w:t>
      </w:r>
      <w:r w:rsidR="00D54E9F">
        <w:rPr>
          <w:rFonts w:eastAsia="Arial Unicode MS"/>
          <w:lang w:val="pt-PT"/>
        </w:rPr>
        <w:t>BVM</w:t>
      </w:r>
      <w:r w:rsidRPr="00E43CA5">
        <w:rPr>
          <w:rFonts w:eastAsia="Arial Unicode MS"/>
          <w:lang w:val="pt-PT"/>
        </w:rPr>
        <w:t xml:space="preserve"> deve elaborar a política de </w:t>
      </w:r>
      <w:r w:rsidR="003C0538">
        <w:rPr>
          <w:rFonts w:eastAsia="Arial Unicode MS"/>
          <w:lang w:val="pt-PT"/>
        </w:rPr>
        <w:t xml:space="preserve">gestão de </w:t>
      </w:r>
      <w:r w:rsidRPr="00E43CA5">
        <w:rPr>
          <w:rFonts w:eastAsia="Arial Unicode MS"/>
          <w:lang w:val="pt-PT"/>
        </w:rPr>
        <w:t>risco</w:t>
      </w:r>
      <w:r w:rsidR="003C0538">
        <w:rPr>
          <w:rFonts w:eastAsia="Arial Unicode MS"/>
          <w:lang w:val="pt-PT"/>
        </w:rPr>
        <w:t>s</w:t>
      </w:r>
      <w:r w:rsidRPr="00E43CA5">
        <w:rPr>
          <w:rFonts w:eastAsia="Arial Unicode MS"/>
          <w:lang w:val="pt-PT"/>
        </w:rPr>
        <w:t xml:space="preserve"> que deve inclui</w:t>
      </w:r>
      <w:r w:rsidR="00BE7063" w:rsidRPr="00E43CA5">
        <w:rPr>
          <w:rFonts w:eastAsia="Arial Unicode MS"/>
          <w:lang w:val="pt-PT"/>
        </w:rPr>
        <w:t>r</w:t>
      </w:r>
      <w:r w:rsidRPr="00E43CA5">
        <w:rPr>
          <w:rFonts w:eastAsia="Arial Unicode MS"/>
          <w:lang w:val="pt-PT"/>
        </w:rPr>
        <w:t xml:space="preserve"> as medidas de mitigação relativamente ao funcionamento da Central de Valores Mobiliários.</w:t>
      </w:r>
    </w:p>
    <w:p w14:paraId="3838A90F" w14:textId="26B80C2F" w:rsidR="00C939F3" w:rsidRPr="002505B5" w:rsidRDefault="00C939F3" w:rsidP="00BE7063">
      <w:pPr>
        <w:pStyle w:val="ListParagraph"/>
        <w:numPr>
          <w:ilvl w:val="0"/>
          <w:numId w:val="31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lang w:val="pt-PT"/>
        </w:rPr>
      </w:pPr>
      <w:r w:rsidRPr="002505B5">
        <w:rPr>
          <w:rFonts w:eastAsia="Arial Unicode MS"/>
          <w:lang w:val="pt-PT"/>
        </w:rPr>
        <w:t xml:space="preserve">A </w:t>
      </w:r>
      <w:r w:rsidR="00D54E9F">
        <w:rPr>
          <w:rFonts w:eastAsia="Arial Unicode MS"/>
          <w:lang w:val="pt-PT"/>
        </w:rPr>
        <w:t>BVM</w:t>
      </w:r>
      <w:r w:rsidRPr="002505B5">
        <w:rPr>
          <w:rFonts w:eastAsia="Arial Unicode MS"/>
          <w:lang w:val="pt-PT"/>
        </w:rPr>
        <w:t>, no âmbito da gestão da Central de Valores Mobiliários</w:t>
      </w:r>
      <w:r w:rsidR="00BE7063">
        <w:rPr>
          <w:rFonts w:eastAsia="Arial Unicode MS"/>
          <w:lang w:val="pt-PT"/>
        </w:rPr>
        <w:t>,</w:t>
      </w:r>
      <w:r>
        <w:rPr>
          <w:rFonts w:eastAsia="Arial Unicode MS"/>
          <w:lang w:val="pt-PT"/>
        </w:rPr>
        <w:t xml:space="preserve"> deve</w:t>
      </w:r>
      <w:r w:rsidRPr="002505B5">
        <w:rPr>
          <w:rFonts w:eastAsia="Arial Unicode MS"/>
          <w:lang w:val="pt-PT"/>
        </w:rPr>
        <w:t xml:space="preserve"> garantir a integridade das emissões, minimizar e gerir os riscos associados à guarda e transferência de valores mobiliários. </w:t>
      </w:r>
    </w:p>
    <w:p w14:paraId="70BA67BB" w14:textId="77777777" w:rsidR="00C939F3" w:rsidRDefault="00C939F3" w:rsidP="00BE7063">
      <w:pPr>
        <w:pStyle w:val="ListParagraph"/>
        <w:numPr>
          <w:ilvl w:val="0"/>
          <w:numId w:val="31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lang w:val="pt-PT"/>
        </w:rPr>
      </w:pPr>
      <w:r w:rsidRPr="002505B5">
        <w:rPr>
          <w:rFonts w:eastAsia="Arial Unicode MS"/>
          <w:lang w:val="pt-PT"/>
        </w:rPr>
        <w:t>A Central de Valores Mobiliários deve manter os valores mobiliários de forma imobilizada ou desmaterializada para sua transferência escritural.</w:t>
      </w:r>
    </w:p>
    <w:p w14:paraId="0F815C06" w14:textId="5B58E201" w:rsidR="00BE7063" w:rsidRDefault="00BE7063" w:rsidP="00BE7063">
      <w:pPr>
        <w:pStyle w:val="ListParagraph"/>
        <w:numPr>
          <w:ilvl w:val="0"/>
          <w:numId w:val="31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lang w:val="pt-PT"/>
        </w:rPr>
      </w:pPr>
      <w:r>
        <w:rPr>
          <w:rFonts w:eastAsia="Arial Unicode MS"/>
          <w:lang w:val="pt-PT"/>
        </w:rPr>
        <w:t xml:space="preserve">A política de gestão de risco deve ser revista, no mínimo, anualmente ou sempre que se reputar necessária </w:t>
      </w:r>
      <w:r w:rsidR="00E43CA5">
        <w:rPr>
          <w:rFonts w:eastAsia="Arial Unicode MS"/>
          <w:lang w:val="pt-PT"/>
        </w:rPr>
        <w:t>à</w:t>
      </w:r>
      <w:r>
        <w:rPr>
          <w:rFonts w:eastAsia="Arial Unicode MS"/>
          <w:lang w:val="pt-PT"/>
        </w:rPr>
        <w:t xml:space="preserve"> sua alteração.</w:t>
      </w:r>
    </w:p>
    <w:p w14:paraId="3F8B8625" w14:textId="1CA9FD1C" w:rsidR="00BE7063" w:rsidRPr="002505B5" w:rsidRDefault="00BE7063" w:rsidP="00BE7063">
      <w:pPr>
        <w:pStyle w:val="ListParagraph"/>
        <w:numPr>
          <w:ilvl w:val="0"/>
          <w:numId w:val="31"/>
        </w:numPr>
        <w:tabs>
          <w:tab w:val="left" w:pos="360"/>
          <w:tab w:val="left" w:pos="7513"/>
        </w:tabs>
        <w:spacing w:line="360" w:lineRule="auto"/>
        <w:jc w:val="both"/>
        <w:rPr>
          <w:rFonts w:eastAsia="Arial Unicode MS"/>
          <w:lang w:val="pt-PT"/>
        </w:rPr>
      </w:pPr>
      <w:r>
        <w:rPr>
          <w:rFonts w:eastAsia="Arial Unicode MS"/>
          <w:lang w:val="pt-PT"/>
        </w:rPr>
        <w:t>A política de gestão de risco da Central de Valores Mobiliários deve ser submetida ao Banco de Moçambique, podendo emitir recomendações ou opor-se a mesma.</w:t>
      </w:r>
    </w:p>
    <w:p w14:paraId="4AE37C55" w14:textId="77777777" w:rsidR="00C939F3" w:rsidRDefault="00C939F3" w:rsidP="00BE7063">
      <w:pPr>
        <w:tabs>
          <w:tab w:val="left" w:pos="360"/>
          <w:tab w:val="left" w:pos="7513"/>
        </w:tabs>
        <w:spacing w:line="360" w:lineRule="auto"/>
        <w:ind w:left="360"/>
        <w:jc w:val="both"/>
        <w:rPr>
          <w:rFonts w:eastAsia="Arial Unicode MS"/>
          <w:bCs/>
          <w:lang w:val="pt-PT"/>
        </w:rPr>
      </w:pPr>
    </w:p>
    <w:p w14:paraId="04730F86" w14:textId="5880AFD9" w:rsidR="002E08FC" w:rsidRPr="002505B5" w:rsidRDefault="002E08FC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CAPÍTULO </w:t>
      </w:r>
      <w:r w:rsidR="00C939F3">
        <w:rPr>
          <w:rFonts w:eastAsia="Arial Unicode MS"/>
          <w:b/>
          <w:lang w:val="pt-PT"/>
        </w:rPr>
        <w:t>I</w:t>
      </w:r>
      <w:r w:rsidR="000F097D" w:rsidRPr="002505B5">
        <w:rPr>
          <w:rFonts w:eastAsia="Arial Unicode MS"/>
          <w:b/>
          <w:lang w:val="pt-PT"/>
        </w:rPr>
        <w:t>V</w:t>
      </w:r>
    </w:p>
    <w:p w14:paraId="4D27463F" w14:textId="789B22F4" w:rsidR="002E08FC" w:rsidRPr="002505B5" w:rsidRDefault="00154E33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DISPOSIÇ</w:t>
      </w:r>
      <w:r w:rsidR="00BE7063">
        <w:rPr>
          <w:rFonts w:eastAsia="Arial Unicode MS"/>
          <w:b/>
          <w:lang w:val="pt-PT"/>
        </w:rPr>
        <w:t>ÕES</w:t>
      </w:r>
      <w:r w:rsidRPr="002505B5">
        <w:rPr>
          <w:rFonts w:eastAsia="Arial Unicode MS"/>
          <w:b/>
          <w:lang w:val="pt-PT"/>
        </w:rPr>
        <w:t xml:space="preserve"> FINA</w:t>
      </w:r>
      <w:r w:rsidR="00BE7063">
        <w:rPr>
          <w:rFonts w:eastAsia="Arial Unicode MS"/>
          <w:b/>
          <w:lang w:val="pt-PT"/>
        </w:rPr>
        <w:t>IS</w:t>
      </w:r>
    </w:p>
    <w:p w14:paraId="4745A483" w14:textId="77777777" w:rsidR="002E08FC" w:rsidRPr="002505B5" w:rsidRDefault="002E08FC" w:rsidP="00BE7063">
      <w:pPr>
        <w:spacing w:line="360" w:lineRule="auto"/>
        <w:ind w:left="360"/>
        <w:jc w:val="both"/>
        <w:rPr>
          <w:rFonts w:eastAsia="Arial Unicode MS"/>
          <w:b/>
          <w:lang w:val="pt-PT"/>
        </w:rPr>
      </w:pPr>
    </w:p>
    <w:p w14:paraId="55C5017E" w14:textId="556D78BC" w:rsidR="002E08FC" w:rsidRPr="002505B5" w:rsidRDefault="002E08FC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 xml:space="preserve">Artigo </w:t>
      </w:r>
      <w:r w:rsidR="00D54E9F">
        <w:rPr>
          <w:rFonts w:eastAsia="Arial Unicode MS"/>
          <w:b/>
          <w:lang w:val="pt-PT"/>
        </w:rPr>
        <w:t>10</w:t>
      </w:r>
    </w:p>
    <w:p w14:paraId="01D718B1" w14:textId="77777777" w:rsidR="002E08FC" w:rsidRPr="002505B5" w:rsidRDefault="002E08FC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Regime sancionatório</w:t>
      </w:r>
    </w:p>
    <w:p w14:paraId="00317571" w14:textId="0A2DEBC1" w:rsidR="002E08FC" w:rsidRDefault="002E08FC" w:rsidP="00BE7063">
      <w:pPr>
        <w:spacing w:line="360" w:lineRule="auto"/>
        <w:jc w:val="both"/>
        <w:rPr>
          <w:rFonts w:eastAsia="Arial Unicode MS"/>
          <w:lang w:val="pt-PT"/>
        </w:rPr>
      </w:pPr>
      <w:r w:rsidRPr="002505B5">
        <w:rPr>
          <w:rFonts w:eastAsia="Arial Unicode MS"/>
          <w:lang w:val="pt-PT"/>
        </w:rPr>
        <w:t xml:space="preserve">A violação do disposto no presente Regulamento constitui contravenção prevista e punível nos termos do </w:t>
      </w:r>
      <w:r w:rsidR="002505B5">
        <w:rPr>
          <w:rFonts w:eastAsia="Arial Unicode MS"/>
          <w:lang w:val="pt-PT"/>
        </w:rPr>
        <w:t>Código do Mercado de Valores Mobiliários</w:t>
      </w:r>
      <w:r w:rsidRPr="002505B5">
        <w:rPr>
          <w:rFonts w:eastAsia="Arial Unicode MS"/>
          <w:lang w:val="pt-PT"/>
        </w:rPr>
        <w:t>.</w:t>
      </w:r>
      <w:r w:rsidRPr="002505B5" w:rsidDel="00553D2D">
        <w:rPr>
          <w:rFonts w:eastAsia="Arial Unicode MS"/>
          <w:lang w:val="pt-PT"/>
        </w:rPr>
        <w:t xml:space="preserve"> </w:t>
      </w:r>
    </w:p>
    <w:p w14:paraId="4F0F4457" w14:textId="77777777" w:rsidR="00BE7063" w:rsidRDefault="00BE7063" w:rsidP="00BE7063">
      <w:pPr>
        <w:spacing w:line="360" w:lineRule="auto"/>
        <w:jc w:val="center"/>
        <w:rPr>
          <w:b/>
          <w:bCs/>
          <w:lang w:val="pt-PT"/>
        </w:rPr>
      </w:pPr>
    </w:p>
    <w:p w14:paraId="685B1227" w14:textId="460536CE" w:rsidR="00BE7063" w:rsidRPr="00BE7063" w:rsidRDefault="00BE7063" w:rsidP="00BE7063">
      <w:pPr>
        <w:spacing w:line="360" w:lineRule="auto"/>
        <w:jc w:val="center"/>
        <w:rPr>
          <w:b/>
          <w:bCs/>
          <w:lang w:val="pt-PT"/>
        </w:rPr>
      </w:pPr>
      <w:r w:rsidRPr="00BE7063">
        <w:rPr>
          <w:b/>
          <w:bCs/>
          <w:lang w:val="pt-PT"/>
        </w:rPr>
        <w:lastRenderedPageBreak/>
        <w:t>Artigo 1</w:t>
      </w:r>
      <w:r w:rsidR="00D54E9F">
        <w:rPr>
          <w:b/>
          <w:bCs/>
          <w:lang w:val="pt-PT"/>
        </w:rPr>
        <w:t>1</w:t>
      </w:r>
    </w:p>
    <w:p w14:paraId="2F7A7D08" w14:textId="5E72E044" w:rsidR="00BE7063" w:rsidRPr="00BE7063" w:rsidRDefault="00BE7063" w:rsidP="00BE7063">
      <w:pPr>
        <w:spacing w:line="360" w:lineRule="auto"/>
        <w:jc w:val="center"/>
        <w:rPr>
          <w:b/>
          <w:bCs/>
          <w:lang w:val="pt-PT"/>
        </w:rPr>
      </w:pPr>
      <w:r w:rsidRPr="00BE7063">
        <w:rPr>
          <w:b/>
          <w:bCs/>
          <w:lang w:val="pt-PT"/>
        </w:rPr>
        <w:t>Entrada em vigor</w:t>
      </w:r>
    </w:p>
    <w:p w14:paraId="287851EB" w14:textId="39A2B8D6" w:rsidR="00BE7063" w:rsidRDefault="00BE7063" w:rsidP="00BE7063">
      <w:pPr>
        <w:spacing w:line="360" w:lineRule="auto"/>
        <w:jc w:val="both"/>
        <w:rPr>
          <w:lang w:val="pt-PT"/>
        </w:rPr>
      </w:pPr>
      <w:r w:rsidRPr="002505B5">
        <w:rPr>
          <w:lang w:val="pt-PT"/>
        </w:rPr>
        <w:t>O presente Aviso entra em vigor na data da sua publicação.</w:t>
      </w:r>
    </w:p>
    <w:p w14:paraId="60A3F3DC" w14:textId="77777777" w:rsidR="00BE7063" w:rsidRDefault="00BE7063" w:rsidP="00BE7063">
      <w:pPr>
        <w:spacing w:line="360" w:lineRule="auto"/>
        <w:jc w:val="center"/>
        <w:rPr>
          <w:b/>
          <w:bCs/>
          <w:lang w:val="pt-PT"/>
        </w:rPr>
      </w:pPr>
    </w:p>
    <w:p w14:paraId="16E7FFE3" w14:textId="7D59DBC0" w:rsidR="00BE7063" w:rsidRPr="00BE7063" w:rsidRDefault="00BE7063" w:rsidP="00BE7063">
      <w:pPr>
        <w:spacing w:line="360" w:lineRule="auto"/>
        <w:jc w:val="center"/>
        <w:rPr>
          <w:b/>
          <w:bCs/>
          <w:lang w:val="pt-PT"/>
        </w:rPr>
      </w:pPr>
      <w:r w:rsidRPr="00BE7063">
        <w:rPr>
          <w:b/>
          <w:bCs/>
          <w:lang w:val="pt-PT"/>
        </w:rPr>
        <w:t>Artigo 1</w:t>
      </w:r>
      <w:r w:rsidR="00D54E9F">
        <w:rPr>
          <w:b/>
          <w:bCs/>
          <w:lang w:val="pt-PT"/>
        </w:rPr>
        <w:t>2</w:t>
      </w:r>
    </w:p>
    <w:p w14:paraId="50BAF3A0" w14:textId="088BA295" w:rsidR="00BE7063" w:rsidRPr="00BE7063" w:rsidRDefault="00BE7063" w:rsidP="00BE7063">
      <w:pPr>
        <w:spacing w:line="360" w:lineRule="auto"/>
        <w:jc w:val="center"/>
        <w:rPr>
          <w:b/>
          <w:bCs/>
          <w:lang w:val="pt-PT"/>
        </w:rPr>
      </w:pPr>
      <w:r w:rsidRPr="00BE7063">
        <w:rPr>
          <w:b/>
          <w:bCs/>
          <w:lang w:val="pt-PT"/>
        </w:rPr>
        <w:t>Esclarecimentos</w:t>
      </w:r>
    </w:p>
    <w:p w14:paraId="2AEB7ED0" w14:textId="225B8E06" w:rsidR="00BE7063" w:rsidRPr="00BE7063" w:rsidRDefault="00BE7063" w:rsidP="00BE7063">
      <w:pPr>
        <w:spacing w:line="360" w:lineRule="auto"/>
        <w:jc w:val="both"/>
        <w:rPr>
          <w:lang w:val="pt-PT"/>
        </w:rPr>
      </w:pPr>
      <w:r w:rsidRPr="002505B5">
        <w:rPr>
          <w:lang w:val="pt-PT"/>
        </w:rPr>
        <w:t xml:space="preserve">As dúvidas na interpretação e aplicação do presente Aviso devem ser submetidas ao </w:t>
      </w:r>
      <w:r w:rsidRPr="00BE7063">
        <w:rPr>
          <w:lang w:val="pt-PT"/>
        </w:rPr>
        <w:t>Departamento de Supervisão Prudencial do Banco de Moçambique.</w:t>
      </w:r>
    </w:p>
    <w:p w14:paraId="179B87A2" w14:textId="77777777" w:rsidR="00BE7063" w:rsidRDefault="00BE7063" w:rsidP="00BE7063">
      <w:pPr>
        <w:spacing w:line="360" w:lineRule="auto"/>
        <w:rPr>
          <w:color w:val="000000"/>
          <w:lang w:val="pt-PT"/>
        </w:rPr>
      </w:pPr>
    </w:p>
    <w:p w14:paraId="1124CDBD" w14:textId="6A21392E" w:rsidR="00BE7063" w:rsidRPr="002505B5" w:rsidRDefault="00BE7063" w:rsidP="00BE7063">
      <w:pPr>
        <w:spacing w:line="360" w:lineRule="auto"/>
        <w:jc w:val="center"/>
        <w:rPr>
          <w:rFonts w:eastAsia="Arial Unicode MS"/>
          <w:b/>
          <w:lang w:val="pt-PT"/>
        </w:rPr>
      </w:pPr>
      <w:r w:rsidRPr="002505B5">
        <w:rPr>
          <w:rFonts w:eastAsia="Arial Unicode MS"/>
          <w:b/>
          <w:lang w:val="pt-PT"/>
        </w:rPr>
        <w:t>Rogério Lucas Zandamela</w:t>
      </w:r>
    </w:p>
    <w:p w14:paraId="26123CC2" w14:textId="0B979BB3" w:rsidR="00BE7063" w:rsidRPr="00BE7063" w:rsidRDefault="00BE7063" w:rsidP="00BE7063">
      <w:pPr>
        <w:spacing w:line="360" w:lineRule="auto"/>
        <w:jc w:val="center"/>
        <w:rPr>
          <w:rFonts w:eastAsia="Arial Unicode MS"/>
          <w:b/>
          <w:lang w:val="pt-PT"/>
        </w:rPr>
        <w:sectPr w:rsidR="00BE7063" w:rsidRPr="00BE70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505B5">
        <w:rPr>
          <w:rFonts w:eastAsia="Arial Unicode MS"/>
          <w:b/>
          <w:lang w:val="pt-PT"/>
        </w:rPr>
        <w:t>Governador</w:t>
      </w:r>
    </w:p>
    <w:p w14:paraId="33FEBAD3" w14:textId="69A525D0" w:rsidR="00C939F3" w:rsidRDefault="00C939F3" w:rsidP="00BE7063">
      <w:pPr>
        <w:spacing w:line="360" w:lineRule="auto"/>
        <w:jc w:val="center"/>
        <w:rPr>
          <w:b/>
          <w:bCs/>
          <w:lang w:val="pt-PT"/>
        </w:rPr>
      </w:pPr>
      <w:r w:rsidRPr="00C939F3">
        <w:rPr>
          <w:b/>
          <w:bCs/>
          <w:lang w:val="pt-PT"/>
        </w:rPr>
        <w:lastRenderedPageBreak/>
        <w:t>ANEXO</w:t>
      </w:r>
    </w:p>
    <w:p w14:paraId="03058578" w14:textId="77777777" w:rsidR="00BE7063" w:rsidRDefault="00BE7063" w:rsidP="00BE7063">
      <w:pPr>
        <w:spacing w:line="360" w:lineRule="auto"/>
        <w:jc w:val="center"/>
        <w:rPr>
          <w:b/>
          <w:bCs/>
          <w:lang w:val="pt-PT"/>
        </w:rPr>
      </w:pPr>
    </w:p>
    <w:p w14:paraId="51A73713" w14:textId="0BCB89F8" w:rsidR="00154E33" w:rsidRPr="00154E33" w:rsidRDefault="00154E33" w:rsidP="00BE7063">
      <w:pPr>
        <w:spacing w:line="360" w:lineRule="auto"/>
        <w:jc w:val="both"/>
        <w:rPr>
          <w:lang w:val="pt-PT"/>
        </w:rPr>
      </w:pPr>
      <w:r w:rsidRPr="00154E33">
        <w:rPr>
          <w:lang w:val="pt-PT"/>
        </w:rPr>
        <w:t>Para efeitos do presente Regulamento, entende-se por:</w:t>
      </w:r>
    </w:p>
    <w:p w14:paraId="1F77BE6E" w14:textId="77777777" w:rsidR="00154E33" w:rsidRDefault="00154E33" w:rsidP="00BE7063">
      <w:pPr>
        <w:spacing w:line="360" w:lineRule="auto"/>
        <w:jc w:val="both"/>
        <w:rPr>
          <w:rFonts w:eastAsia="Arial Unicode MS"/>
          <w:bCs/>
          <w:lang w:val="pt-PT"/>
        </w:rPr>
      </w:pPr>
    </w:p>
    <w:p w14:paraId="3C9A3084" w14:textId="399B0BAB" w:rsidR="00C939F3" w:rsidRPr="00BE7063" w:rsidRDefault="00C939F3" w:rsidP="00E43CA5">
      <w:pPr>
        <w:spacing w:line="360" w:lineRule="auto"/>
        <w:jc w:val="both"/>
        <w:rPr>
          <w:rFonts w:eastAsia="Arial Unicode MS"/>
          <w:b/>
          <w:lang w:val="pt-PT"/>
        </w:rPr>
      </w:pPr>
      <w:r w:rsidRPr="00BE7063">
        <w:rPr>
          <w:rFonts w:eastAsia="Arial Unicode MS"/>
          <w:b/>
          <w:lang w:val="pt-PT"/>
        </w:rPr>
        <w:t>Boletim de Cotações</w:t>
      </w:r>
      <w:r w:rsidR="00BE7063" w:rsidRPr="00BE7063">
        <w:rPr>
          <w:rFonts w:eastAsia="Arial Unicode MS"/>
          <w:b/>
          <w:lang w:val="pt-PT"/>
        </w:rPr>
        <w:t xml:space="preserve"> – </w:t>
      </w:r>
      <w:r w:rsidR="00BE7063" w:rsidRPr="00E43CA5">
        <w:rPr>
          <w:rFonts w:eastAsia="Arial Unicode MS"/>
          <w:bCs/>
          <w:lang w:val="pt-PT"/>
        </w:rPr>
        <w:t xml:space="preserve">é o meio de informação sobre as operações realizadas na bolsa de valores </w:t>
      </w:r>
    </w:p>
    <w:p w14:paraId="1D292BF2" w14:textId="77777777" w:rsidR="00BE7063" w:rsidRPr="00E43CA5" w:rsidRDefault="00BE7063" w:rsidP="00E43CA5">
      <w:pPr>
        <w:spacing w:line="360" w:lineRule="auto"/>
        <w:jc w:val="both"/>
        <w:rPr>
          <w:rFonts w:eastAsia="Arial Unicode MS"/>
          <w:b/>
          <w:lang w:val="pt-PT"/>
        </w:rPr>
      </w:pPr>
    </w:p>
    <w:p w14:paraId="62442D62" w14:textId="0C1B6EEC" w:rsidR="00154E33" w:rsidRPr="00BE7063" w:rsidRDefault="00154E33" w:rsidP="00E43CA5">
      <w:pPr>
        <w:spacing w:line="360" w:lineRule="auto"/>
        <w:jc w:val="both"/>
        <w:rPr>
          <w:b/>
          <w:lang w:val="pt-PT"/>
        </w:rPr>
      </w:pPr>
      <w:r w:rsidRPr="00BE7063">
        <w:rPr>
          <w:rFonts w:eastAsia="Arial Unicode MS"/>
          <w:b/>
          <w:lang w:val="pt-PT"/>
        </w:rPr>
        <w:t>Capitalização bolsista</w:t>
      </w:r>
      <w:r w:rsidR="00BE7063" w:rsidRPr="00BE7063">
        <w:rPr>
          <w:rFonts w:eastAsia="Arial Unicode MS"/>
          <w:b/>
          <w:lang w:val="pt-PT"/>
        </w:rPr>
        <w:t xml:space="preserve"> - </w:t>
      </w:r>
      <w:r w:rsidR="00BE7063" w:rsidRPr="00E43CA5">
        <w:rPr>
          <w:shd w:val="clear" w:color="auto" w:fill="FFFFFF"/>
          <w:lang w:val="pt-PT"/>
        </w:rPr>
        <w:t>é o indicador usado para avaliar o valor do mercado de títulos num dado momento. A capitalização bolsista é obtida pelo produto da última cotação ou preço e o número de títulos admitidos à cotação. Este pode ser calculado para todos os títulos cotados numa bolsa</w:t>
      </w:r>
    </w:p>
    <w:sectPr w:rsidR="00154E33" w:rsidRPr="00BE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E451" w14:textId="77777777" w:rsidR="002A7BA2" w:rsidRDefault="002A7BA2" w:rsidP="00CA5FBC">
      <w:r>
        <w:separator/>
      </w:r>
    </w:p>
  </w:endnote>
  <w:endnote w:type="continuationSeparator" w:id="0">
    <w:p w14:paraId="35E7E602" w14:textId="77777777" w:rsidR="002A7BA2" w:rsidRDefault="002A7BA2" w:rsidP="00C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742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1C9CA" w14:textId="02A9DCAF" w:rsidR="00BE7063" w:rsidRDefault="00BE7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DAA6B" w14:textId="77777777" w:rsidR="002E08FC" w:rsidRDefault="002E0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90F1" w14:textId="77777777" w:rsidR="002A7BA2" w:rsidRDefault="002A7BA2" w:rsidP="00CA5FBC">
      <w:r>
        <w:separator/>
      </w:r>
    </w:p>
  </w:footnote>
  <w:footnote w:type="continuationSeparator" w:id="0">
    <w:p w14:paraId="7C09823C" w14:textId="77777777" w:rsidR="002A7BA2" w:rsidRDefault="002A7BA2" w:rsidP="00C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F7DE" w14:textId="20FA9435" w:rsidR="002E08FC" w:rsidRPr="0022610B" w:rsidRDefault="002E08FC" w:rsidP="00A55653">
    <w:pPr>
      <w:pStyle w:val="Header"/>
      <w:suppressLineNumbers/>
      <w:jc w:val="right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18D"/>
    <w:multiLevelType w:val="hybridMultilevel"/>
    <w:tmpl w:val="103297D6"/>
    <w:lvl w:ilvl="0" w:tplc="6FF80C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263B34"/>
    <w:multiLevelType w:val="hybridMultilevel"/>
    <w:tmpl w:val="67FC9B34"/>
    <w:lvl w:ilvl="0" w:tplc="29564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751BF7"/>
    <w:multiLevelType w:val="hybridMultilevel"/>
    <w:tmpl w:val="FE36EB5A"/>
    <w:lvl w:ilvl="0" w:tplc="01465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41679E7"/>
    <w:multiLevelType w:val="hybridMultilevel"/>
    <w:tmpl w:val="4F34D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75CAE"/>
    <w:multiLevelType w:val="multilevel"/>
    <w:tmpl w:val="9378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B5042"/>
    <w:multiLevelType w:val="hybridMultilevel"/>
    <w:tmpl w:val="6992865E"/>
    <w:lvl w:ilvl="0" w:tplc="08090017">
      <w:start w:val="1"/>
      <w:numFmt w:val="lowerLetter"/>
      <w:lvlText w:val="%1)"/>
      <w:lvlJc w:val="left"/>
      <w:pPr>
        <w:ind w:left="-17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079" w:hanging="360"/>
      </w:pPr>
    </w:lvl>
    <w:lvl w:ilvl="2" w:tplc="0809001B" w:tentative="1">
      <w:start w:val="1"/>
      <w:numFmt w:val="lowerRoman"/>
      <w:lvlText w:val="%3."/>
      <w:lvlJc w:val="right"/>
      <w:pPr>
        <w:ind w:left="-359" w:hanging="180"/>
      </w:pPr>
    </w:lvl>
    <w:lvl w:ilvl="3" w:tplc="0809000F" w:tentative="1">
      <w:start w:val="1"/>
      <w:numFmt w:val="decimal"/>
      <w:lvlText w:val="%4."/>
      <w:lvlJc w:val="left"/>
      <w:pPr>
        <w:ind w:left="361" w:hanging="360"/>
      </w:pPr>
    </w:lvl>
    <w:lvl w:ilvl="4" w:tplc="08090019" w:tentative="1">
      <w:start w:val="1"/>
      <w:numFmt w:val="lowerLetter"/>
      <w:lvlText w:val="%5."/>
      <w:lvlJc w:val="left"/>
      <w:pPr>
        <w:ind w:left="1081" w:hanging="360"/>
      </w:pPr>
    </w:lvl>
    <w:lvl w:ilvl="5" w:tplc="0809001B" w:tentative="1">
      <w:start w:val="1"/>
      <w:numFmt w:val="lowerRoman"/>
      <w:lvlText w:val="%6."/>
      <w:lvlJc w:val="right"/>
      <w:pPr>
        <w:ind w:left="1801" w:hanging="180"/>
      </w:pPr>
    </w:lvl>
    <w:lvl w:ilvl="6" w:tplc="0809000F" w:tentative="1">
      <w:start w:val="1"/>
      <w:numFmt w:val="decimal"/>
      <w:lvlText w:val="%7."/>
      <w:lvlJc w:val="left"/>
      <w:pPr>
        <w:ind w:left="2521" w:hanging="360"/>
      </w:pPr>
    </w:lvl>
    <w:lvl w:ilvl="7" w:tplc="08090019" w:tentative="1">
      <w:start w:val="1"/>
      <w:numFmt w:val="lowerLetter"/>
      <w:lvlText w:val="%8."/>
      <w:lvlJc w:val="left"/>
      <w:pPr>
        <w:ind w:left="3241" w:hanging="360"/>
      </w:pPr>
    </w:lvl>
    <w:lvl w:ilvl="8" w:tplc="0809001B" w:tentative="1">
      <w:start w:val="1"/>
      <w:numFmt w:val="lowerRoman"/>
      <w:lvlText w:val="%9."/>
      <w:lvlJc w:val="right"/>
      <w:pPr>
        <w:ind w:left="3961" w:hanging="180"/>
      </w:pPr>
    </w:lvl>
  </w:abstractNum>
  <w:abstractNum w:abstractNumId="6" w15:restartNumberingAfterBreak="0">
    <w:nsid w:val="0825221B"/>
    <w:multiLevelType w:val="hybridMultilevel"/>
    <w:tmpl w:val="28B0326E"/>
    <w:lvl w:ilvl="0" w:tplc="1CCACD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C8C1B11"/>
    <w:multiLevelType w:val="hybridMultilevel"/>
    <w:tmpl w:val="09AEC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3AD4"/>
    <w:multiLevelType w:val="multilevel"/>
    <w:tmpl w:val="34E47C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9" w15:restartNumberingAfterBreak="0">
    <w:nsid w:val="17F963D7"/>
    <w:multiLevelType w:val="hybridMultilevel"/>
    <w:tmpl w:val="695EA5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20EB7"/>
    <w:multiLevelType w:val="hybridMultilevel"/>
    <w:tmpl w:val="0518C8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A2C9D"/>
    <w:multiLevelType w:val="hybridMultilevel"/>
    <w:tmpl w:val="5106AEFA"/>
    <w:lvl w:ilvl="0" w:tplc="1B0E29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D07462"/>
    <w:multiLevelType w:val="hybridMultilevel"/>
    <w:tmpl w:val="39F8337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AA455A"/>
    <w:multiLevelType w:val="hybridMultilevel"/>
    <w:tmpl w:val="A4FA7E02"/>
    <w:lvl w:ilvl="0" w:tplc="B6D45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70AC"/>
    <w:multiLevelType w:val="hybridMultilevel"/>
    <w:tmpl w:val="B68CC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77BC1"/>
    <w:multiLevelType w:val="hybridMultilevel"/>
    <w:tmpl w:val="F914F614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C2390E"/>
    <w:multiLevelType w:val="hybridMultilevel"/>
    <w:tmpl w:val="2666A1D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941E1F"/>
    <w:multiLevelType w:val="hybridMultilevel"/>
    <w:tmpl w:val="AD54E24A"/>
    <w:lvl w:ilvl="0" w:tplc="E892EF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C69774D"/>
    <w:multiLevelType w:val="hybridMultilevel"/>
    <w:tmpl w:val="01AA1A2A"/>
    <w:lvl w:ilvl="0" w:tplc="375C3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E527A"/>
    <w:multiLevelType w:val="hybridMultilevel"/>
    <w:tmpl w:val="ABFA4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84AA2"/>
    <w:multiLevelType w:val="hybridMultilevel"/>
    <w:tmpl w:val="103297D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21747F7"/>
    <w:multiLevelType w:val="hybridMultilevel"/>
    <w:tmpl w:val="53460344"/>
    <w:lvl w:ilvl="0" w:tplc="8E44715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23679AD"/>
    <w:multiLevelType w:val="hybridMultilevel"/>
    <w:tmpl w:val="04662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1268"/>
    <w:multiLevelType w:val="hybridMultilevel"/>
    <w:tmpl w:val="37D2C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B1F15"/>
    <w:multiLevelType w:val="hybridMultilevel"/>
    <w:tmpl w:val="04662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2CA8"/>
    <w:multiLevelType w:val="hybridMultilevel"/>
    <w:tmpl w:val="6F0A4B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814AE0"/>
    <w:multiLevelType w:val="hybridMultilevel"/>
    <w:tmpl w:val="87AAE726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74A18CD"/>
    <w:multiLevelType w:val="hybridMultilevel"/>
    <w:tmpl w:val="7E1EEAD8"/>
    <w:lvl w:ilvl="0" w:tplc="D95A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B5AA1"/>
    <w:multiLevelType w:val="hybridMultilevel"/>
    <w:tmpl w:val="5C966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666727"/>
    <w:multiLevelType w:val="hybridMultilevel"/>
    <w:tmpl w:val="770441DC"/>
    <w:lvl w:ilvl="0" w:tplc="833ADD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A8763B4"/>
    <w:multiLevelType w:val="hybridMultilevel"/>
    <w:tmpl w:val="98EE7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9F6103"/>
    <w:multiLevelType w:val="hybridMultilevel"/>
    <w:tmpl w:val="23280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9466E"/>
    <w:multiLevelType w:val="hybridMultilevel"/>
    <w:tmpl w:val="6890DA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3150DB3"/>
    <w:multiLevelType w:val="hybridMultilevel"/>
    <w:tmpl w:val="D950609A"/>
    <w:lvl w:ilvl="0" w:tplc="DBAC06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3576DC2"/>
    <w:multiLevelType w:val="hybridMultilevel"/>
    <w:tmpl w:val="CD442B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2F19D3"/>
    <w:multiLevelType w:val="hybridMultilevel"/>
    <w:tmpl w:val="0466290E"/>
    <w:lvl w:ilvl="0" w:tplc="7284C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839AE"/>
    <w:multiLevelType w:val="hybridMultilevel"/>
    <w:tmpl w:val="4716A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46F1F"/>
    <w:multiLevelType w:val="hybridMultilevel"/>
    <w:tmpl w:val="90E64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63985"/>
    <w:multiLevelType w:val="hybridMultilevel"/>
    <w:tmpl w:val="23280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B44DF"/>
    <w:multiLevelType w:val="hybridMultilevel"/>
    <w:tmpl w:val="11C62AB0"/>
    <w:lvl w:ilvl="0" w:tplc="609A7F02">
      <w:start w:val="7"/>
      <w:numFmt w:val="bullet"/>
      <w:lvlText w:val=""/>
      <w:lvlJc w:val="left"/>
      <w:pPr>
        <w:ind w:left="126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D3B3006"/>
    <w:multiLevelType w:val="hybridMultilevel"/>
    <w:tmpl w:val="EFFC5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604D0"/>
    <w:multiLevelType w:val="hybridMultilevel"/>
    <w:tmpl w:val="AA52AB7E"/>
    <w:lvl w:ilvl="0" w:tplc="79DA1F5E">
      <w:start w:val="1"/>
      <w:numFmt w:val="decimal"/>
      <w:lvlText w:val="%1."/>
      <w:lvlJc w:val="left"/>
      <w:pPr>
        <w:ind w:left="1020" w:hanging="360"/>
      </w:pPr>
    </w:lvl>
    <w:lvl w:ilvl="1" w:tplc="A34AC192">
      <w:start w:val="1"/>
      <w:numFmt w:val="decimal"/>
      <w:lvlText w:val="%2."/>
      <w:lvlJc w:val="left"/>
      <w:pPr>
        <w:ind w:left="1020" w:hanging="360"/>
      </w:pPr>
    </w:lvl>
    <w:lvl w:ilvl="2" w:tplc="84A42988">
      <w:start w:val="1"/>
      <w:numFmt w:val="decimal"/>
      <w:lvlText w:val="%3."/>
      <w:lvlJc w:val="left"/>
      <w:pPr>
        <w:ind w:left="1020" w:hanging="360"/>
      </w:pPr>
    </w:lvl>
    <w:lvl w:ilvl="3" w:tplc="920EB078">
      <w:start w:val="1"/>
      <w:numFmt w:val="decimal"/>
      <w:lvlText w:val="%4."/>
      <w:lvlJc w:val="left"/>
      <w:pPr>
        <w:ind w:left="1020" w:hanging="360"/>
      </w:pPr>
    </w:lvl>
    <w:lvl w:ilvl="4" w:tplc="633C4CF2">
      <w:start w:val="1"/>
      <w:numFmt w:val="decimal"/>
      <w:lvlText w:val="%5."/>
      <w:lvlJc w:val="left"/>
      <w:pPr>
        <w:ind w:left="1020" w:hanging="360"/>
      </w:pPr>
    </w:lvl>
    <w:lvl w:ilvl="5" w:tplc="4D6C797A">
      <w:start w:val="1"/>
      <w:numFmt w:val="decimal"/>
      <w:lvlText w:val="%6."/>
      <w:lvlJc w:val="left"/>
      <w:pPr>
        <w:ind w:left="1020" w:hanging="360"/>
      </w:pPr>
    </w:lvl>
    <w:lvl w:ilvl="6" w:tplc="D2D0F72A">
      <w:start w:val="1"/>
      <w:numFmt w:val="decimal"/>
      <w:lvlText w:val="%7."/>
      <w:lvlJc w:val="left"/>
      <w:pPr>
        <w:ind w:left="1020" w:hanging="360"/>
      </w:pPr>
    </w:lvl>
    <w:lvl w:ilvl="7" w:tplc="9D24E0EE">
      <w:start w:val="1"/>
      <w:numFmt w:val="decimal"/>
      <w:lvlText w:val="%8."/>
      <w:lvlJc w:val="left"/>
      <w:pPr>
        <w:ind w:left="1020" w:hanging="360"/>
      </w:pPr>
    </w:lvl>
    <w:lvl w:ilvl="8" w:tplc="96363304">
      <w:start w:val="1"/>
      <w:numFmt w:val="decimal"/>
      <w:lvlText w:val="%9."/>
      <w:lvlJc w:val="left"/>
      <w:pPr>
        <w:ind w:left="1020" w:hanging="360"/>
      </w:pPr>
    </w:lvl>
  </w:abstractNum>
  <w:abstractNum w:abstractNumId="42" w15:restartNumberingAfterBreak="0">
    <w:nsid w:val="77276D1D"/>
    <w:multiLevelType w:val="hybridMultilevel"/>
    <w:tmpl w:val="BF769632"/>
    <w:lvl w:ilvl="0" w:tplc="48CE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3B71F9"/>
    <w:multiLevelType w:val="hybridMultilevel"/>
    <w:tmpl w:val="D388B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9057">
    <w:abstractNumId w:val="8"/>
  </w:num>
  <w:num w:numId="2" w16cid:durableId="287056203">
    <w:abstractNumId w:val="33"/>
  </w:num>
  <w:num w:numId="3" w16cid:durableId="1642540349">
    <w:abstractNumId w:val="21"/>
  </w:num>
  <w:num w:numId="4" w16cid:durableId="202912916">
    <w:abstractNumId w:val="29"/>
  </w:num>
  <w:num w:numId="5" w16cid:durableId="2013145655">
    <w:abstractNumId w:val="39"/>
  </w:num>
  <w:num w:numId="6" w16cid:durableId="1514223635">
    <w:abstractNumId w:val="43"/>
  </w:num>
  <w:num w:numId="7" w16cid:durableId="1243418244">
    <w:abstractNumId w:val="5"/>
  </w:num>
  <w:num w:numId="8" w16cid:durableId="776101767">
    <w:abstractNumId w:val="13"/>
  </w:num>
  <w:num w:numId="9" w16cid:durableId="466820512">
    <w:abstractNumId w:val="37"/>
  </w:num>
  <w:num w:numId="10" w16cid:durableId="1302467881">
    <w:abstractNumId w:val="30"/>
  </w:num>
  <w:num w:numId="11" w16cid:durableId="880291262">
    <w:abstractNumId w:val="10"/>
  </w:num>
  <w:num w:numId="12" w16cid:durableId="2076010489">
    <w:abstractNumId w:val="2"/>
  </w:num>
  <w:num w:numId="13" w16cid:durableId="196359190">
    <w:abstractNumId w:val="35"/>
  </w:num>
  <w:num w:numId="14" w16cid:durableId="478575536">
    <w:abstractNumId w:val="24"/>
  </w:num>
  <w:num w:numId="15" w16cid:durableId="896429063">
    <w:abstractNumId w:val="38"/>
  </w:num>
  <w:num w:numId="16" w16cid:durableId="1620329947">
    <w:abstractNumId w:val="23"/>
  </w:num>
  <w:num w:numId="17" w16cid:durableId="829178063">
    <w:abstractNumId w:val="17"/>
  </w:num>
  <w:num w:numId="18" w16cid:durableId="71659391">
    <w:abstractNumId w:val="0"/>
  </w:num>
  <w:num w:numId="19" w16cid:durableId="38946046">
    <w:abstractNumId w:val="1"/>
  </w:num>
  <w:num w:numId="20" w16cid:durableId="1563247417">
    <w:abstractNumId w:val="9"/>
  </w:num>
  <w:num w:numId="21" w16cid:durableId="335039753">
    <w:abstractNumId w:val="6"/>
  </w:num>
  <w:num w:numId="22" w16cid:durableId="1326056476">
    <w:abstractNumId w:val="14"/>
  </w:num>
  <w:num w:numId="23" w16cid:durableId="1846356027">
    <w:abstractNumId w:val="16"/>
  </w:num>
  <w:num w:numId="24" w16cid:durableId="653799763">
    <w:abstractNumId w:val="3"/>
  </w:num>
  <w:num w:numId="25" w16cid:durableId="1092431610">
    <w:abstractNumId w:val="34"/>
  </w:num>
  <w:num w:numId="26" w16cid:durableId="2141875446">
    <w:abstractNumId w:val="40"/>
  </w:num>
  <w:num w:numId="27" w16cid:durableId="1080978786">
    <w:abstractNumId w:val="22"/>
  </w:num>
  <w:num w:numId="28" w16cid:durableId="619264391">
    <w:abstractNumId w:val="27"/>
  </w:num>
  <w:num w:numId="29" w16cid:durableId="2023891693">
    <w:abstractNumId w:val="18"/>
  </w:num>
  <w:num w:numId="30" w16cid:durableId="429548944">
    <w:abstractNumId w:val="42"/>
  </w:num>
  <w:num w:numId="31" w16cid:durableId="1281229113">
    <w:abstractNumId w:val="25"/>
  </w:num>
  <w:num w:numId="32" w16cid:durableId="1730305481">
    <w:abstractNumId w:val="36"/>
  </w:num>
  <w:num w:numId="33" w16cid:durableId="1953392978">
    <w:abstractNumId w:val="20"/>
  </w:num>
  <w:num w:numId="34" w16cid:durableId="2064715680">
    <w:abstractNumId w:val="31"/>
  </w:num>
  <w:num w:numId="35" w16cid:durableId="961615221">
    <w:abstractNumId w:val="32"/>
  </w:num>
  <w:num w:numId="36" w16cid:durableId="1569918318">
    <w:abstractNumId w:val="19"/>
  </w:num>
  <w:num w:numId="37" w16cid:durableId="1258909616">
    <w:abstractNumId w:val="41"/>
  </w:num>
  <w:num w:numId="38" w16cid:durableId="1807090187">
    <w:abstractNumId w:val="7"/>
  </w:num>
  <w:num w:numId="39" w16cid:durableId="422185397">
    <w:abstractNumId w:val="12"/>
  </w:num>
  <w:num w:numId="40" w16cid:durableId="1829515093">
    <w:abstractNumId w:val="11"/>
  </w:num>
  <w:num w:numId="41" w16cid:durableId="198473834">
    <w:abstractNumId w:val="28"/>
  </w:num>
  <w:num w:numId="42" w16cid:durableId="1251355666">
    <w:abstractNumId w:val="4"/>
  </w:num>
  <w:num w:numId="43" w16cid:durableId="1722286684">
    <w:abstractNumId w:val="26"/>
  </w:num>
  <w:num w:numId="44" w16cid:durableId="1427268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BA"/>
    <w:rsid w:val="000028E5"/>
    <w:rsid w:val="00021355"/>
    <w:rsid w:val="00057F7F"/>
    <w:rsid w:val="00083E10"/>
    <w:rsid w:val="000A2375"/>
    <w:rsid w:val="000A7827"/>
    <w:rsid w:val="000D10C5"/>
    <w:rsid w:val="000F097D"/>
    <w:rsid w:val="001276D3"/>
    <w:rsid w:val="001365AD"/>
    <w:rsid w:val="00146551"/>
    <w:rsid w:val="00154E33"/>
    <w:rsid w:val="001672B9"/>
    <w:rsid w:val="0017623A"/>
    <w:rsid w:val="001B6F32"/>
    <w:rsid w:val="001C11CE"/>
    <w:rsid w:val="001D12C5"/>
    <w:rsid w:val="001D4CC2"/>
    <w:rsid w:val="001E09B3"/>
    <w:rsid w:val="002165E6"/>
    <w:rsid w:val="002505B5"/>
    <w:rsid w:val="002A7BA2"/>
    <w:rsid w:val="002E08FC"/>
    <w:rsid w:val="002E3F9A"/>
    <w:rsid w:val="002F5DCB"/>
    <w:rsid w:val="003664B1"/>
    <w:rsid w:val="003A4916"/>
    <w:rsid w:val="003C0538"/>
    <w:rsid w:val="003D4A9D"/>
    <w:rsid w:val="003F0681"/>
    <w:rsid w:val="00424391"/>
    <w:rsid w:val="0045195D"/>
    <w:rsid w:val="0047260C"/>
    <w:rsid w:val="004D2D93"/>
    <w:rsid w:val="004E7DF6"/>
    <w:rsid w:val="004F167B"/>
    <w:rsid w:val="00503F09"/>
    <w:rsid w:val="005077D2"/>
    <w:rsid w:val="005406C9"/>
    <w:rsid w:val="00555BEA"/>
    <w:rsid w:val="00576841"/>
    <w:rsid w:val="00591413"/>
    <w:rsid w:val="00595847"/>
    <w:rsid w:val="005A764A"/>
    <w:rsid w:val="005B04EF"/>
    <w:rsid w:val="0060022B"/>
    <w:rsid w:val="006409C0"/>
    <w:rsid w:val="00695C89"/>
    <w:rsid w:val="006C1D3E"/>
    <w:rsid w:val="006D1084"/>
    <w:rsid w:val="00714576"/>
    <w:rsid w:val="007238F0"/>
    <w:rsid w:val="0078297E"/>
    <w:rsid w:val="007C2B08"/>
    <w:rsid w:val="00841426"/>
    <w:rsid w:val="008501E4"/>
    <w:rsid w:val="008E7F2F"/>
    <w:rsid w:val="008F681B"/>
    <w:rsid w:val="00911945"/>
    <w:rsid w:val="00916891"/>
    <w:rsid w:val="0092143B"/>
    <w:rsid w:val="0095610A"/>
    <w:rsid w:val="00964EFD"/>
    <w:rsid w:val="009A56BF"/>
    <w:rsid w:val="009C40DF"/>
    <w:rsid w:val="009D1E0A"/>
    <w:rsid w:val="009F72FA"/>
    <w:rsid w:val="00A4570F"/>
    <w:rsid w:val="00A54EF0"/>
    <w:rsid w:val="00A55653"/>
    <w:rsid w:val="00AD02F9"/>
    <w:rsid w:val="00B22CFF"/>
    <w:rsid w:val="00B72DB9"/>
    <w:rsid w:val="00B7437C"/>
    <w:rsid w:val="00B77A56"/>
    <w:rsid w:val="00B958C0"/>
    <w:rsid w:val="00BB514A"/>
    <w:rsid w:val="00BD1B41"/>
    <w:rsid w:val="00BD67C1"/>
    <w:rsid w:val="00BE4218"/>
    <w:rsid w:val="00BE7063"/>
    <w:rsid w:val="00C144A8"/>
    <w:rsid w:val="00C51F67"/>
    <w:rsid w:val="00C939F3"/>
    <w:rsid w:val="00C97395"/>
    <w:rsid w:val="00CA5FBC"/>
    <w:rsid w:val="00CB2D04"/>
    <w:rsid w:val="00CC73CA"/>
    <w:rsid w:val="00CD44C0"/>
    <w:rsid w:val="00CE0E3F"/>
    <w:rsid w:val="00CE2E77"/>
    <w:rsid w:val="00CE76EF"/>
    <w:rsid w:val="00D01F98"/>
    <w:rsid w:val="00D26BD9"/>
    <w:rsid w:val="00D54E9F"/>
    <w:rsid w:val="00DB4CC1"/>
    <w:rsid w:val="00E14E7D"/>
    <w:rsid w:val="00E274BA"/>
    <w:rsid w:val="00E43CA5"/>
    <w:rsid w:val="00E446BF"/>
    <w:rsid w:val="00E623EF"/>
    <w:rsid w:val="00E84CC6"/>
    <w:rsid w:val="00EA16C6"/>
    <w:rsid w:val="00EB774F"/>
    <w:rsid w:val="00F42A20"/>
    <w:rsid w:val="00F4659F"/>
    <w:rsid w:val="00F90DD6"/>
    <w:rsid w:val="00FB2D63"/>
    <w:rsid w:val="00FC372E"/>
    <w:rsid w:val="00FD2847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39B08"/>
  <w15:chartTrackingRefBased/>
  <w15:docId w15:val="{8805AD01-EEB8-4CFC-B7C5-12FF482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2E08FC"/>
    <w:pPr>
      <w:keepNext/>
      <w:tabs>
        <w:tab w:val="left" w:pos="360"/>
      </w:tabs>
      <w:spacing w:line="360" w:lineRule="auto"/>
      <w:ind w:left="180"/>
      <w:jc w:val="center"/>
      <w:outlineLvl w:val="4"/>
    </w:pPr>
    <w:rPr>
      <w:b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5FBC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5FB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CA5FBC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5FB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qFormat/>
    <w:rsid w:val="00CA5FBC"/>
    <w:pPr>
      <w:ind w:left="720"/>
    </w:pPr>
    <w:rPr>
      <w:lang w:val="en-US" w:eastAsia="en-US"/>
    </w:rPr>
  </w:style>
  <w:style w:type="character" w:customStyle="1" w:styleId="ListParagraphChar">
    <w:name w:val="List Paragraph Char"/>
    <w:link w:val="ListParagraph"/>
    <w:rsid w:val="00CA5FB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2E08FC"/>
    <w:rPr>
      <w:rFonts w:ascii="Times New Roman" w:eastAsia="Times New Roman" w:hAnsi="Times New Roman" w:cs="Times New Roman"/>
      <w:b/>
      <w:kern w:val="0"/>
      <w:sz w:val="24"/>
      <w:szCs w:val="24"/>
      <w:lang w:val="pt-PT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D63"/>
    <w:rPr>
      <w:rFonts w:ascii="Consolas" w:hAnsi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D63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7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6D3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6D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6D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25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05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D54E9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4570F"/>
    <w:pPr>
      <w:spacing w:before="100" w:beforeAutospacing="1" w:after="100" w:afterAutospacing="1"/>
      <w:ind w:left="30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18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46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4256-4EF5-4E82-BA4A-1A09CC78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De Mocambique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</dc:creator>
  <cp:keywords/>
  <dc:description/>
  <cp:lastModifiedBy>DN</cp:lastModifiedBy>
  <cp:revision>4</cp:revision>
  <cp:lastPrinted>2025-08-29T11:05:00Z</cp:lastPrinted>
  <dcterms:created xsi:type="dcterms:W3CDTF">2025-08-27T13:35:00Z</dcterms:created>
  <dcterms:modified xsi:type="dcterms:W3CDTF">2025-08-29T11:31:00Z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fb4469-32f9-4af3-b66e-a3c55befa5a9_Enabled">
    <vt:lpwstr>true</vt:lpwstr>
  </property>
  <property fmtid="{D5CDD505-2E9C-101B-9397-08002B2CF9AE}" pid="3" name="MSIP_Label_dbfb4469-32f9-4af3-b66e-a3c55befa5a9_SetDate">
    <vt:lpwstr>2025-08-29T11:31:05Z</vt:lpwstr>
  </property>
  <property fmtid="{D5CDD505-2E9C-101B-9397-08002B2CF9AE}" pid="4" name="MSIP_Label_dbfb4469-32f9-4af3-b66e-a3c55befa5a9_Method">
    <vt:lpwstr>Privileged</vt:lpwstr>
  </property>
  <property fmtid="{D5CDD505-2E9C-101B-9397-08002B2CF9AE}" pid="5" name="MSIP_Label_dbfb4469-32f9-4af3-b66e-a3c55befa5a9_Name">
    <vt:lpwstr>defa4170-0d19-0005-0001-bc88714345d2</vt:lpwstr>
  </property>
  <property fmtid="{D5CDD505-2E9C-101B-9397-08002B2CF9AE}" pid="6" name="MSIP_Label_dbfb4469-32f9-4af3-b66e-a3c55befa5a9_SiteId">
    <vt:lpwstr>b7697c94-a3e3-49f6-a540-f02c205e7d5b</vt:lpwstr>
  </property>
  <property fmtid="{D5CDD505-2E9C-101B-9397-08002B2CF9AE}" pid="7" name="MSIP_Label_dbfb4469-32f9-4af3-b66e-a3c55befa5a9_ActionId">
    <vt:lpwstr>5f21baa0-b77e-4178-bda1-78231ab63793</vt:lpwstr>
  </property>
  <property fmtid="{D5CDD505-2E9C-101B-9397-08002B2CF9AE}" pid="8" name="MSIP_Label_dbfb4469-32f9-4af3-b66e-a3c55befa5a9_ContentBits">
    <vt:lpwstr>0</vt:lpwstr>
  </property>
  <property fmtid="{D5CDD505-2E9C-101B-9397-08002B2CF9AE}" pid="9" name="MSIP_Label_dbfb4469-32f9-4af3-b66e-a3c55befa5a9_Tag">
    <vt:lpwstr>10, 0, 1, 1</vt:lpwstr>
  </property>
</Properties>
</file>